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footer1.xml" ContentType="application/vnd.openxmlformats-officedocument.wordprocessingml.footer+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53" w:rsidRPr="00074652" w:rsidRDefault="00E6223F" w:rsidP="00BF5653">
      <w:pPr>
        <w:pStyle w:val="Heading1"/>
        <w:rPr>
          <w:color w:val="auto"/>
          <w:sz w:val="72"/>
          <w:szCs w:val="72"/>
        </w:rPr>
      </w:pPr>
      <w:bookmarkStart w:id="0" w:name="_Toc292981186"/>
      <w:bookmarkStart w:id="1" w:name="_Toc318638247"/>
      <w:bookmarkStart w:id="2" w:name="_Toc229126438"/>
      <w:bookmarkStart w:id="3" w:name="_GoBack"/>
      <w:bookmarkEnd w:id="3"/>
      <w:r>
        <w:rPr>
          <w:color w:val="auto"/>
          <w:sz w:val="72"/>
          <w:szCs w:val="72"/>
          <w:lang w:val="en-US"/>
        </w:rPr>
        <w:t>Linn</w:t>
      </w:r>
      <w:r w:rsidR="00216632">
        <w:rPr>
          <w:color w:val="auto"/>
          <w:sz w:val="72"/>
          <w:szCs w:val="72"/>
          <w:lang w:val="en-US"/>
        </w:rPr>
        <w:t xml:space="preserve"> County</w:t>
      </w:r>
      <w:r w:rsidR="00D3738B">
        <w:rPr>
          <w:color w:val="auto"/>
          <w:sz w:val="72"/>
          <w:szCs w:val="72"/>
          <w:lang w:val="en-US"/>
        </w:rPr>
        <w:t xml:space="preserve"> </w:t>
      </w:r>
      <w:r w:rsidR="00BF5653" w:rsidRPr="00074652">
        <w:rPr>
          <w:color w:val="auto"/>
          <w:sz w:val="72"/>
          <w:szCs w:val="72"/>
        </w:rPr>
        <w:t>Community Health Needs Assessment</w:t>
      </w:r>
      <w:bookmarkEnd w:id="0"/>
      <w:bookmarkEnd w:id="1"/>
      <w:bookmarkEnd w:id="2"/>
    </w:p>
    <w:p w:rsidR="00E6223F" w:rsidRPr="00074652" w:rsidRDefault="00E6223F" w:rsidP="00E6223F">
      <w:pPr>
        <w:jc w:val="center"/>
        <w:rPr>
          <w:sz w:val="24"/>
          <w:szCs w:val="24"/>
        </w:rPr>
      </w:pPr>
      <w:r w:rsidRPr="00074652">
        <w:rPr>
          <w:sz w:val="24"/>
          <w:szCs w:val="24"/>
        </w:rPr>
        <w:t>Conducted on behalf of:</w:t>
      </w:r>
    </w:p>
    <w:p w:rsidR="00E6223F" w:rsidRDefault="00E6223F" w:rsidP="00E6223F">
      <w:pPr>
        <w:jc w:val="center"/>
        <w:rPr>
          <w:sz w:val="24"/>
          <w:szCs w:val="24"/>
        </w:rPr>
      </w:pPr>
      <w:r>
        <w:rPr>
          <w:sz w:val="24"/>
          <w:szCs w:val="24"/>
        </w:rPr>
        <w:t>General John J. Pershing</w:t>
      </w:r>
      <w:r w:rsidRPr="00074652">
        <w:rPr>
          <w:sz w:val="24"/>
          <w:szCs w:val="24"/>
        </w:rPr>
        <w:t xml:space="preserve"> Memorial Hospital</w:t>
      </w:r>
    </w:p>
    <w:p w:rsidR="00E6223F" w:rsidRDefault="00E6223F" w:rsidP="00E6223F">
      <w:pPr>
        <w:jc w:val="center"/>
        <w:rPr>
          <w:sz w:val="24"/>
          <w:szCs w:val="24"/>
        </w:rPr>
      </w:pPr>
      <w:r>
        <w:rPr>
          <w:sz w:val="24"/>
          <w:szCs w:val="24"/>
        </w:rPr>
        <w:t xml:space="preserve">Pershing Health System </w:t>
      </w:r>
    </w:p>
    <w:p w:rsidR="00E6223F" w:rsidRPr="00074652" w:rsidRDefault="00E6223F" w:rsidP="00E6223F">
      <w:pPr>
        <w:jc w:val="center"/>
        <w:rPr>
          <w:sz w:val="24"/>
          <w:szCs w:val="24"/>
        </w:rPr>
      </w:pPr>
      <w:r>
        <w:rPr>
          <w:sz w:val="24"/>
          <w:szCs w:val="24"/>
        </w:rPr>
        <w:t>January 2013</w:t>
      </w:r>
    </w:p>
    <w:p w:rsidR="00E6223F" w:rsidRPr="00074652" w:rsidRDefault="00E6223F" w:rsidP="00E6223F">
      <w:pPr>
        <w:jc w:val="center"/>
        <w:rPr>
          <w:sz w:val="24"/>
          <w:szCs w:val="24"/>
        </w:rPr>
      </w:pPr>
    </w:p>
    <w:p w:rsidR="00E6223F" w:rsidRPr="00074652" w:rsidRDefault="00E6223F" w:rsidP="00E6223F">
      <w:pPr>
        <w:jc w:val="center"/>
        <w:rPr>
          <w:sz w:val="24"/>
          <w:szCs w:val="24"/>
        </w:rPr>
      </w:pPr>
    </w:p>
    <w:p w:rsidR="00E6223F" w:rsidRPr="00074652" w:rsidRDefault="00E6223F" w:rsidP="00E6223F">
      <w:pPr>
        <w:jc w:val="center"/>
        <w:rPr>
          <w:sz w:val="24"/>
          <w:szCs w:val="24"/>
        </w:rPr>
      </w:pPr>
      <w:r>
        <w:rPr>
          <w:sz w:val="24"/>
          <w:szCs w:val="24"/>
        </w:rPr>
        <w:t>Authors</w:t>
      </w:r>
      <w:r w:rsidRPr="00074652">
        <w:rPr>
          <w:sz w:val="24"/>
          <w:szCs w:val="24"/>
        </w:rPr>
        <w:t>:</w:t>
      </w:r>
    </w:p>
    <w:p w:rsidR="00E6223F" w:rsidRDefault="00E6223F" w:rsidP="00E6223F">
      <w:pPr>
        <w:jc w:val="center"/>
        <w:rPr>
          <w:sz w:val="24"/>
          <w:szCs w:val="24"/>
        </w:rPr>
      </w:pPr>
      <w:r>
        <w:rPr>
          <w:sz w:val="24"/>
          <w:szCs w:val="24"/>
        </w:rPr>
        <w:t>Cory M. Hernandez</w:t>
      </w:r>
    </w:p>
    <w:p w:rsidR="00E6223F" w:rsidRDefault="00E6223F" w:rsidP="00E6223F">
      <w:pPr>
        <w:jc w:val="center"/>
        <w:rPr>
          <w:sz w:val="24"/>
          <w:szCs w:val="24"/>
        </w:rPr>
      </w:pPr>
      <w:r>
        <w:rPr>
          <w:sz w:val="24"/>
          <w:szCs w:val="24"/>
        </w:rPr>
        <w:t>University of Missouri-Columbia</w:t>
      </w:r>
    </w:p>
    <w:p w:rsidR="00E6223F" w:rsidRDefault="00E6223F" w:rsidP="00E6223F">
      <w:pPr>
        <w:jc w:val="center"/>
        <w:rPr>
          <w:sz w:val="24"/>
          <w:szCs w:val="24"/>
        </w:rPr>
      </w:pPr>
      <w:r>
        <w:rPr>
          <w:sz w:val="24"/>
          <w:szCs w:val="24"/>
        </w:rPr>
        <w:t>Health Management and Informatics</w:t>
      </w:r>
    </w:p>
    <w:p w:rsidR="00E6223F" w:rsidRDefault="00E6223F" w:rsidP="00E6223F">
      <w:pPr>
        <w:jc w:val="center"/>
        <w:rPr>
          <w:sz w:val="24"/>
          <w:szCs w:val="24"/>
        </w:rPr>
      </w:pPr>
    </w:p>
    <w:p w:rsidR="00E6223F" w:rsidRDefault="00E6223F" w:rsidP="00E6223F">
      <w:pPr>
        <w:jc w:val="center"/>
        <w:rPr>
          <w:sz w:val="24"/>
          <w:szCs w:val="24"/>
        </w:rPr>
      </w:pPr>
      <w:r>
        <w:rPr>
          <w:sz w:val="24"/>
          <w:szCs w:val="24"/>
        </w:rPr>
        <w:t xml:space="preserve">Steven </w:t>
      </w:r>
      <w:r w:rsidR="006E0E0C">
        <w:rPr>
          <w:sz w:val="24"/>
          <w:szCs w:val="24"/>
        </w:rPr>
        <w:t xml:space="preserve">J. </w:t>
      </w:r>
      <w:r>
        <w:rPr>
          <w:sz w:val="24"/>
          <w:szCs w:val="24"/>
        </w:rPr>
        <w:t xml:space="preserve">Taylor </w:t>
      </w:r>
    </w:p>
    <w:p w:rsidR="006E0E0C" w:rsidRDefault="00E6223F" w:rsidP="00E6223F">
      <w:pPr>
        <w:jc w:val="center"/>
        <w:rPr>
          <w:sz w:val="24"/>
          <w:szCs w:val="24"/>
        </w:rPr>
      </w:pPr>
      <w:r>
        <w:rPr>
          <w:sz w:val="24"/>
          <w:szCs w:val="24"/>
        </w:rPr>
        <w:t>Rockhurst University</w:t>
      </w:r>
    </w:p>
    <w:p w:rsidR="00E6223F" w:rsidRDefault="00E6223F" w:rsidP="00E6223F">
      <w:pPr>
        <w:jc w:val="center"/>
        <w:rPr>
          <w:sz w:val="24"/>
          <w:szCs w:val="24"/>
        </w:rPr>
      </w:pPr>
      <w:r>
        <w:rPr>
          <w:sz w:val="24"/>
          <w:szCs w:val="24"/>
        </w:rPr>
        <w:t xml:space="preserve">Economics </w:t>
      </w:r>
    </w:p>
    <w:p w:rsidR="006E0E0C" w:rsidRPr="00074652" w:rsidRDefault="006E0E0C" w:rsidP="00E6223F">
      <w:pPr>
        <w:jc w:val="center"/>
        <w:rPr>
          <w:sz w:val="24"/>
          <w:szCs w:val="24"/>
        </w:rPr>
      </w:pPr>
      <w:r>
        <w:rPr>
          <w:sz w:val="24"/>
          <w:szCs w:val="24"/>
        </w:rPr>
        <w:t>Kansas City, MO</w:t>
      </w:r>
    </w:p>
    <w:p w:rsidR="00BF5653" w:rsidRDefault="00FA23ED" w:rsidP="00D1645F">
      <w:pPr>
        <w:rPr>
          <w:sz w:val="24"/>
          <w:szCs w:val="24"/>
        </w:rPr>
      </w:pPr>
      <w:r>
        <w:rPr>
          <w:noProof/>
        </w:rPr>
        <w:drawing>
          <wp:anchor distT="0" distB="0" distL="114300" distR="114300" simplePos="0" relativeHeight="251670528" behindDoc="1" locked="0" layoutInCell="1" allowOverlap="1">
            <wp:simplePos x="0" y="0"/>
            <wp:positionH relativeFrom="column">
              <wp:posOffset>-228600</wp:posOffset>
            </wp:positionH>
            <wp:positionV relativeFrom="paragraph">
              <wp:posOffset>133350</wp:posOffset>
            </wp:positionV>
            <wp:extent cx="1371600" cy="1371600"/>
            <wp:effectExtent l="0" t="0" r="0" b="0"/>
            <wp:wrapNone/>
            <wp:docPr id="93" name="Picture 9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3A3" w:rsidRPr="00074652" w:rsidRDefault="003313A3" w:rsidP="00D1645F">
      <w:pPr>
        <w:rPr>
          <w:sz w:val="24"/>
          <w:szCs w:val="24"/>
        </w:rPr>
      </w:pPr>
    </w:p>
    <w:p w:rsidR="00BF5653" w:rsidRDefault="00BF5653" w:rsidP="00BF5653">
      <w:pPr>
        <w:jc w:val="center"/>
        <w:rPr>
          <w:sz w:val="24"/>
          <w:szCs w:val="24"/>
        </w:rPr>
      </w:pPr>
    </w:p>
    <w:p w:rsidR="003313A3" w:rsidRPr="00074652" w:rsidRDefault="003313A3" w:rsidP="00BF5653">
      <w:pPr>
        <w:jc w:val="center"/>
        <w:rPr>
          <w:sz w:val="24"/>
          <w:szCs w:val="24"/>
        </w:rPr>
      </w:pPr>
    </w:p>
    <w:p w:rsidR="00073446" w:rsidRDefault="00BF5653" w:rsidP="00073446">
      <w:pPr>
        <w:pStyle w:val="Heading1"/>
        <w:rPr>
          <w:lang w:val="en-US"/>
        </w:rPr>
      </w:pPr>
      <w:bookmarkStart w:id="4" w:name="_Toc292981187"/>
      <w:bookmarkStart w:id="5" w:name="_Toc318638248"/>
      <w:r w:rsidRPr="00074652">
        <w:rPr>
          <w:sz w:val="24"/>
          <w:szCs w:val="24"/>
        </w:rPr>
        <w:br w:type="page"/>
      </w:r>
      <w:bookmarkStart w:id="6" w:name="_Toc229126439"/>
      <w:r>
        <w:rPr>
          <w:szCs w:val="24"/>
        </w:rPr>
        <w:lastRenderedPageBreak/>
        <w:t xml:space="preserve">Table of </w:t>
      </w:r>
      <w:r w:rsidRPr="00074652">
        <w:t>Contents</w:t>
      </w:r>
      <w:bookmarkEnd w:id="4"/>
      <w:bookmarkEnd w:id="5"/>
      <w:bookmarkEnd w:id="6"/>
    </w:p>
    <w:p w:rsidR="00D2730B" w:rsidRPr="00B87BAB" w:rsidRDefault="00073446">
      <w:pPr>
        <w:pStyle w:val="TOC1"/>
        <w:tabs>
          <w:tab w:val="right" w:leader="dot" w:pos="9350"/>
        </w:tabs>
        <w:rPr>
          <w:rFonts w:eastAsia="MS Mincho"/>
          <w:noProof/>
          <w:sz w:val="24"/>
          <w:szCs w:val="24"/>
          <w:lang w:eastAsia="ja-JP"/>
        </w:rPr>
      </w:pPr>
      <w:r w:rsidRPr="00CD2059">
        <w:fldChar w:fldCharType="begin"/>
      </w:r>
      <w:r w:rsidRPr="00CD2059">
        <w:instrText xml:space="preserve"> TOC \o "1-3" \h \z \u </w:instrText>
      </w:r>
      <w:r w:rsidRPr="00CD2059">
        <w:fldChar w:fldCharType="separate"/>
      </w:r>
      <w:r w:rsidR="00D2730B" w:rsidRPr="0021012C">
        <w:rPr>
          <w:noProof/>
        </w:rPr>
        <w:t>Linn County Community Health Needs Assessment</w:t>
      </w:r>
      <w:r w:rsidR="00D2730B">
        <w:rPr>
          <w:noProof/>
        </w:rPr>
        <w:tab/>
      </w:r>
      <w:r w:rsidR="00D2730B">
        <w:rPr>
          <w:noProof/>
        </w:rPr>
        <w:fldChar w:fldCharType="begin"/>
      </w:r>
      <w:r w:rsidR="00D2730B">
        <w:rPr>
          <w:noProof/>
        </w:rPr>
        <w:instrText xml:space="preserve"> PAGEREF _Toc229126438 \h </w:instrText>
      </w:r>
      <w:r w:rsidR="00D2730B">
        <w:rPr>
          <w:noProof/>
        </w:rPr>
      </w:r>
      <w:r w:rsidR="00D2730B">
        <w:rPr>
          <w:noProof/>
        </w:rPr>
        <w:fldChar w:fldCharType="separate"/>
      </w:r>
      <w:r w:rsidR="00D2730B">
        <w:rPr>
          <w:noProof/>
        </w:rPr>
        <w:t>1</w:t>
      </w:r>
      <w:r w:rsidR="00D2730B">
        <w:rPr>
          <w:noProof/>
        </w:rPr>
        <w:fldChar w:fldCharType="end"/>
      </w:r>
    </w:p>
    <w:p w:rsidR="00D2730B" w:rsidRPr="00B87BAB" w:rsidRDefault="00D2730B">
      <w:pPr>
        <w:pStyle w:val="TOC1"/>
        <w:tabs>
          <w:tab w:val="right" w:leader="dot" w:pos="9350"/>
        </w:tabs>
        <w:rPr>
          <w:rFonts w:eastAsia="MS Mincho"/>
          <w:noProof/>
          <w:sz w:val="24"/>
          <w:szCs w:val="24"/>
          <w:lang w:eastAsia="ja-JP"/>
        </w:rPr>
      </w:pPr>
      <w:r>
        <w:rPr>
          <w:noProof/>
        </w:rPr>
        <w:t>Table of Contents</w:t>
      </w:r>
      <w:r>
        <w:rPr>
          <w:noProof/>
        </w:rPr>
        <w:tab/>
      </w:r>
      <w:r>
        <w:rPr>
          <w:noProof/>
        </w:rPr>
        <w:fldChar w:fldCharType="begin"/>
      </w:r>
      <w:r>
        <w:rPr>
          <w:noProof/>
        </w:rPr>
        <w:instrText xml:space="preserve"> PAGEREF _Toc229126439 \h </w:instrText>
      </w:r>
      <w:r>
        <w:rPr>
          <w:noProof/>
        </w:rPr>
      </w:r>
      <w:r>
        <w:rPr>
          <w:noProof/>
        </w:rPr>
        <w:fldChar w:fldCharType="separate"/>
      </w:r>
      <w:r>
        <w:rPr>
          <w:noProof/>
        </w:rPr>
        <w:t>2</w:t>
      </w:r>
      <w:r>
        <w:rPr>
          <w:noProof/>
        </w:rPr>
        <w:fldChar w:fldCharType="end"/>
      </w:r>
    </w:p>
    <w:p w:rsidR="00D2730B" w:rsidRPr="00B87BAB" w:rsidRDefault="00D2730B">
      <w:pPr>
        <w:pStyle w:val="TOC1"/>
        <w:tabs>
          <w:tab w:val="right" w:leader="dot" w:pos="9350"/>
        </w:tabs>
        <w:rPr>
          <w:rFonts w:eastAsia="MS Mincho"/>
          <w:noProof/>
          <w:sz w:val="24"/>
          <w:szCs w:val="24"/>
          <w:lang w:eastAsia="ja-JP"/>
        </w:rPr>
      </w:pPr>
      <w:r w:rsidRPr="0021012C">
        <w:rPr>
          <w:noProof/>
        </w:rPr>
        <w:t>Executive Summary</w:t>
      </w:r>
      <w:r>
        <w:rPr>
          <w:noProof/>
        </w:rPr>
        <w:tab/>
      </w:r>
      <w:r>
        <w:rPr>
          <w:noProof/>
        </w:rPr>
        <w:fldChar w:fldCharType="begin"/>
      </w:r>
      <w:r>
        <w:rPr>
          <w:noProof/>
        </w:rPr>
        <w:instrText xml:space="preserve"> PAGEREF _Toc229126440 \h </w:instrText>
      </w:r>
      <w:r>
        <w:rPr>
          <w:noProof/>
        </w:rPr>
      </w:r>
      <w:r>
        <w:rPr>
          <w:noProof/>
        </w:rPr>
        <w:fldChar w:fldCharType="separate"/>
      </w:r>
      <w:r>
        <w:rPr>
          <w:noProof/>
        </w:rPr>
        <w:t>5</w:t>
      </w:r>
      <w:r>
        <w:rPr>
          <w:noProof/>
        </w:rPr>
        <w:fldChar w:fldCharType="end"/>
      </w:r>
    </w:p>
    <w:p w:rsidR="00D2730B" w:rsidRPr="00B87BAB" w:rsidRDefault="00D2730B">
      <w:pPr>
        <w:pStyle w:val="TOC2"/>
        <w:rPr>
          <w:rFonts w:eastAsia="MS Mincho"/>
          <w:noProof/>
          <w:sz w:val="24"/>
          <w:szCs w:val="24"/>
          <w:lang w:eastAsia="ja-JP"/>
        </w:rPr>
      </w:pPr>
      <w:r w:rsidRPr="0021012C">
        <w:rPr>
          <w:noProof/>
        </w:rPr>
        <w:t>Background &amp; Purpose</w:t>
      </w:r>
      <w:r>
        <w:rPr>
          <w:noProof/>
        </w:rPr>
        <w:tab/>
      </w:r>
      <w:r>
        <w:rPr>
          <w:noProof/>
        </w:rPr>
        <w:fldChar w:fldCharType="begin"/>
      </w:r>
      <w:r>
        <w:rPr>
          <w:noProof/>
        </w:rPr>
        <w:instrText xml:space="preserve"> PAGEREF _Toc229126441 \h </w:instrText>
      </w:r>
      <w:r>
        <w:rPr>
          <w:noProof/>
        </w:rPr>
      </w:r>
      <w:r>
        <w:rPr>
          <w:noProof/>
        </w:rPr>
        <w:fldChar w:fldCharType="separate"/>
      </w:r>
      <w:r>
        <w:rPr>
          <w:noProof/>
        </w:rPr>
        <w:t>6</w:t>
      </w:r>
      <w:r>
        <w:rPr>
          <w:noProof/>
        </w:rPr>
        <w:fldChar w:fldCharType="end"/>
      </w:r>
    </w:p>
    <w:p w:rsidR="00D2730B" w:rsidRPr="00B87BAB" w:rsidRDefault="00D2730B">
      <w:pPr>
        <w:pStyle w:val="TOC2"/>
        <w:rPr>
          <w:rFonts w:eastAsia="MS Mincho"/>
          <w:noProof/>
          <w:sz w:val="24"/>
          <w:szCs w:val="24"/>
          <w:lang w:eastAsia="ja-JP"/>
        </w:rPr>
      </w:pPr>
      <w:r w:rsidRPr="0021012C">
        <w:rPr>
          <w:noProof/>
        </w:rPr>
        <w:t>Methodology</w:t>
      </w:r>
      <w:r>
        <w:rPr>
          <w:noProof/>
        </w:rPr>
        <w:tab/>
      </w:r>
      <w:r>
        <w:rPr>
          <w:noProof/>
        </w:rPr>
        <w:fldChar w:fldCharType="begin"/>
      </w:r>
      <w:r>
        <w:rPr>
          <w:noProof/>
        </w:rPr>
        <w:instrText xml:space="preserve"> PAGEREF _Toc229126442 \h </w:instrText>
      </w:r>
      <w:r>
        <w:rPr>
          <w:noProof/>
        </w:rPr>
      </w:r>
      <w:r>
        <w:rPr>
          <w:noProof/>
        </w:rPr>
        <w:fldChar w:fldCharType="separate"/>
      </w:r>
      <w:r>
        <w:rPr>
          <w:noProof/>
        </w:rPr>
        <w:t>6</w:t>
      </w:r>
      <w:r>
        <w:rPr>
          <w:noProof/>
        </w:rPr>
        <w:fldChar w:fldCharType="end"/>
      </w:r>
    </w:p>
    <w:p w:rsidR="00D2730B" w:rsidRPr="00B87BAB" w:rsidRDefault="00D2730B">
      <w:pPr>
        <w:pStyle w:val="TOC2"/>
        <w:rPr>
          <w:rFonts w:eastAsia="MS Mincho"/>
          <w:noProof/>
          <w:sz w:val="24"/>
          <w:szCs w:val="24"/>
          <w:lang w:eastAsia="ja-JP"/>
        </w:rPr>
      </w:pPr>
      <w:r>
        <w:rPr>
          <w:noProof/>
        </w:rPr>
        <w:t>Community Health Needs Assessment</w:t>
      </w:r>
      <w:r>
        <w:rPr>
          <w:noProof/>
        </w:rPr>
        <w:tab/>
      </w:r>
      <w:r>
        <w:rPr>
          <w:noProof/>
        </w:rPr>
        <w:fldChar w:fldCharType="begin"/>
      </w:r>
      <w:r>
        <w:rPr>
          <w:noProof/>
        </w:rPr>
        <w:instrText xml:space="preserve"> PAGEREF _Toc229126443 \h </w:instrText>
      </w:r>
      <w:r>
        <w:rPr>
          <w:noProof/>
        </w:rPr>
      </w:r>
      <w:r>
        <w:rPr>
          <w:noProof/>
        </w:rPr>
        <w:fldChar w:fldCharType="separate"/>
      </w:r>
      <w:r>
        <w:rPr>
          <w:noProof/>
        </w:rPr>
        <w:t>7</w:t>
      </w:r>
      <w:r>
        <w:rPr>
          <w:noProof/>
        </w:rPr>
        <w:fldChar w:fldCharType="end"/>
      </w:r>
    </w:p>
    <w:p w:rsidR="00D2730B" w:rsidRPr="00B87BAB" w:rsidRDefault="00D2730B">
      <w:pPr>
        <w:pStyle w:val="TOC1"/>
        <w:tabs>
          <w:tab w:val="right" w:leader="dot" w:pos="9350"/>
        </w:tabs>
        <w:rPr>
          <w:rFonts w:eastAsia="MS Mincho"/>
          <w:noProof/>
          <w:sz w:val="24"/>
          <w:szCs w:val="24"/>
          <w:lang w:eastAsia="ja-JP"/>
        </w:rPr>
      </w:pPr>
      <w:r w:rsidRPr="0021012C">
        <w:rPr>
          <w:noProof/>
        </w:rPr>
        <w:t>I. Linn County Key Demographics</w:t>
      </w:r>
      <w:r>
        <w:rPr>
          <w:noProof/>
        </w:rPr>
        <w:tab/>
      </w:r>
      <w:r>
        <w:rPr>
          <w:noProof/>
        </w:rPr>
        <w:fldChar w:fldCharType="begin"/>
      </w:r>
      <w:r>
        <w:rPr>
          <w:noProof/>
        </w:rPr>
        <w:instrText xml:space="preserve"> PAGEREF _Toc229126444 \h </w:instrText>
      </w:r>
      <w:r>
        <w:rPr>
          <w:noProof/>
        </w:rPr>
      </w:r>
      <w:r>
        <w:rPr>
          <w:noProof/>
        </w:rPr>
        <w:fldChar w:fldCharType="separate"/>
      </w:r>
      <w:r>
        <w:rPr>
          <w:noProof/>
        </w:rPr>
        <w:t>8</w:t>
      </w:r>
      <w:r>
        <w:rPr>
          <w:noProof/>
        </w:rPr>
        <w:fldChar w:fldCharType="end"/>
      </w:r>
    </w:p>
    <w:p w:rsidR="00D2730B" w:rsidRPr="00B87BAB" w:rsidRDefault="00D2730B">
      <w:pPr>
        <w:pStyle w:val="TOC2"/>
        <w:rPr>
          <w:rFonts w:eastAsia="MS Mincho"/>
          <w:noProof/>
          <w:sz w:val="24"/>
          <w:szCs w:val="24"/>
          <w:lang w:eastAsia="ja-JP"/>
        </w:rPr>
      </w:pPr>
      <w:r w:rsidRPr="0021012C">
        <w:rPr>
          <w:noProof/>
        </w:rPr>
        <w:t>Geography</w:t>
      </w:r>
      <w:r>
        <w:rPr>
          <w:noProof/>
        </w:rPr>
        <w:tab/>
      </w:r>
      <w:r>
        <w:rPr>
          <w:noProof/>
        </w:rPr>
        <w:fldChar w:fldCharType="begin"/>
      </w:r>
      <w:r>
        <w:rPr>
          <w:noProof/>
        </w:rPr>
        <w:instrText xml:space="preserve"> PAGEREF _Toc229126445 \h </w:instrText>
      </w:r>
      <w:r>
        <w:rPr>
          <w:noProof/>
        </w:rPr>
      </w:r>
      <w:r>
        <w:rPr>
          <w:noProof/>
        </w:rPr>
        <w:fldChar w:fldCharType="separate"/>
      </w:r>
      <w:r>
        <w:rPr>
          <w:noProof/>
        </w:rPr>
        <w:t>8</w:t>
      </w:r>
      <w:r>
        <w:rPr>
          <w:noProof/>
        </w:rPr>
        <w:fldChar w:fldCharType="end"/>
      </w:r>
    </w:p>
    <w:p w:rsidR="00D2730B" w:rsidRPr="00B87BAB" w:rsidRDefault="00D2730B">
      <w:pPr>
        <w:pStyle w:val="TOC2"/>
        <w:rPr>
          <w:rFonts w:eastAsia="MS Mincho"/>
          <w:noProof/>
          <w:sz w:val="24"/>
          <w:szCs w:val="24"/>
          <w:lang w:eastAsia="ja-JP"/>
        </w:rPr>
      </w:pPr>
      <w:r w:rsidRPr="0021012C">
        <w:rPr>
          <w:noProof/>
        </w:rPr>
        <w:t>Population</w:t>
      </w:r>
      <w:r>
        <w:rPr>
          <w:noProof/>
        </w:rPr>
        <w:tab/>
      </w:r>
      <w:r>
        <w:rPr>
          <w:noProof/>
        </w:rPr>
        <w:fldChar w:fldCharType="begin"/>
      </w:r>
      <w:r>
        <w:rPr>
          <w:noProof/>
        </w:rPr>
        <w:instrText xml:space="preserve"> PAGEREF _Toc229126446 \h </w:instrText>
      </w:r>
      <w:r>
        <w:rPr>
          <w:noProof/>
        </w:rPr>
      </w:r>
      <w:r>
        <w:rPr>
          <w:noProof/>
        </w:rPr>
        <w:fldChar w:fldCharType="separate"/>
      </w:r>
      <w:r>
        <w:rPr>
          <w:noProof/>
        </w:rPr>
        <w:t>9</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Population Change – Figure 1.1</w:t>
      </w:r>
      <w:r>
        <w:rPr>
          <w:noProof/>
        </w:rPr>
        <w:tab/>
      </w:r>
      <w:r>
        <w:rPr>
          <w:noProof/>
        </w:rPr>
        <w:fldChar w:fldCharType="begin"/>
      </w:r>
      <w:r>
        <w:rPr>
          <w:noProof/>
        </w:rPr>
        <w:instrText xml:space="preserve"> PAGEREF _Toc229126447 \h </w:instrText>
      </w:r>
      <w:r>
        <w:rPr>
          <w:noProof/>
        </w:rPr>
      </w:r>
      <w:r>
        <w:rPr>
          <w:noProof/>
        </w:rPr>
        <w:fldChar w:fldCharType="separate"/>
      </w:r>
      <w:r>
        <w:rPr>
          <w:noProof/>
        </w:rPr>
        <w:t>9</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Population by Age – Figure 1.2</w:t>
      </w:r>
      <w:r>
        <w:rPr>
          <w:noProof/>
        </w:rPr>
        <w:tab/>
      </w:r>
      <w:r>
        <w:rPr>
          <w:noProof/>
        </w:rPr>
        <w:fldChar w:fldCharType="begin"/>
      </w:r>
      <w:r>
        <w:rPr>
          <w:noProof/>
        </w:rPr>
        <w:instrText xml:space="preserve"> PAGEREF _Toc229126448 \h </w:instrText>
      </w:r>
      <w:r>
        <w:rPr>
          <w:noProof/>
        </w:rPr>
      </w:r>
      <w:r>
        <w:rPr>
          <w:noProof/>
        </w:rPr>
        <w:fldChar w:fldCharType="separate"/>
      </w:r>
      <w:r>
        <w:rPr>
          <w:noProof/>
        </w:rPr>
        <w:t>10</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Gender Differences (2010) – Figure 1.3</w:t>
      </w:r>
      <w:r>
        <w:rPr>
          <w:noProof/>
        </w:rPr>
        <w:tab/>
      </w:r>
      <w:r>
        <w:rPr>
          <w:noProof/>
        </w:rPr>
        <w:fldChar w:fldCharType="begin"/>
      </w:r>
      <w:r>
        <w:rPr>
          <w:noProof/>
        </w:rPr>
        <w:instrText xml:space="preserve"> PAGEREF _Toc229126449 \h </w:instrText>
      </w:r>
      <w:r>
        <w:rPr>
          <w:noProof/>
        </w:rPr>
      </w:r>
      <w:r>
        <w:rPr>
          <w:noProof/>
        </w:rPr>
        <w:fldChar w:fldCharType="separate"/>
      </w:r>
      <w:r>
        <w:rPr>
          <w:noProof/>
        </w:rPr>
        <w:t>11</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Ethnicity Breakdowns (2010) – Figure 1.4</w:t>
      </w:r>
      <w:r>
        <w:rPr>
          <w:noProof/>
        </w:rPr>
        <w:tab/>
      </w:r>
      <w:r>
        <w:rPr>
          <w:noProof/>
        </w:rPr>
        <w:fldChar w:fldCharType="begin"/>
      </w:r>
      <w:r>
        <w:rPr>
          <w:noProof/>
        </w:rPr>
        <w:instrText xml:space="preserve"> PAGEREF _Toc229126450 \h </w:instrText>
      </w:r>
      <w:r>
        <w:rPr>
          <w:noProof/>
        </w:rPr>
      </w:r>
      <w:r>
        <w:rPr>
          <w:noProof/>
        </w:rPr>
        <w:fldChar w:fldCharType="separate"/>
      </w:r>
      <w:r>
        <w:rPr>
          <w:noProof/>
        </w:rPr>
        <w:t>12</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Pr>
          <w:noProof/>
        </w:rPr>
        <w:t xml:space="preserve">Religion </w:t>
      </w:r>
      <w:r w:rsidRPr="0021012C">
        <w:rPr>
          <w:noProof/>
        </w:rPr>
        <w:t xml:space="preserve">(2010) </w:t>
      </w:r>
      <w:r>
        <w:rPr>
          <w:noProof/>
        </w:rPr>
        <w:t>– Figure 1.5</w:t>
      </w:r>
      <w:r>
        <w:rPr>
          <w:noProof/>
        </w:rPr>
        <w:tab/>
      </w:r>
      <w:r>
        <w:rPr>
          <w:noProof/>
        </w:rPr>
        <w:fldChar w:fldCharType="begin"/>
      </w:r>
      <w:r>
        <w:rPr>
          <w:noProof/>
        </w:rPr>
        <w:instrText xml:space="preserve"> PAGEREF _Toc229126451 \h </w:instrText>
      </w:r>
      <w:r>
        <w:rPr>
          <w:noProof/>
        </w:rPr>
      </w:r>
      <w:r>
        <w:rPr>
          <w:noProof/>
        </w:rPr>
        <w:fldChar w:fldCharType="separate"/>
      </w:r>
      <w:r>
        <w:rPr>
          <w:noProof/>
        </w:rPr>
        <w:t>13</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Educational level – Figure 1.5</w:t>
      </w:r>
      <w:r>
        <w:rPr>
          <w:noProof/>
        </w:rPr>
        <w:tab/>
      </w:r>
      <w:r>
        <w:rPr>
          <w:noProof/>
        </w:rPr>
        <w:fldChar w:fldCharType="begin"/>
      </w:r>
      <w:r>
        <w:rPr>
          <w:noProof/>
        </w:rPr>
        <w:instrText xml:space="preserve"> PAGEREF _Toc229126452 \h </w:instrText>
      </w:r>
      <w:r>
        <w:rPr>
          <w:noProof/>
        </w:rPr>
      </w:r>
      <w:r>
        <w:rPr>
          <w:noProof/>
        </w:rPr>
        <w:fldChar w:fldCharType="separate"/>
      </w:r>
      <w:r>
        <w:rPr>
          <w:noProof/>
        </w:rPr>
        <w:t>14</w:t>
      </w:r>
      <w:r>
        <w:rPr>
          <w:noProof/>
        </w:rPr>
        <w:fldChar w:fldCharType="end"/>
      </w:r>
    </w:p>
    <w:p w:rsidR="00D2730B" w:rsidRPr="00B87BAB" w:rsidRDefault="00D2730B">
      <w:pPr>
        <w:pStyle w:val="TOC2"/>
        <w:rPr>
          <w:rFonts w:eastAsia="MS Mincho"/>
          <w:noProof/>
          <w:sz w:val="24"/>
          <w:szCs w:val="24"/>
          <w:lang w:eastAsia="ja-JP"/>
        </w:rPr>
      </w:pPr>
      <w:r w:rsidRPr="0021012C">
        <w:rPr>
          <w:noProof/>
        </w:rPr>
        <w:t>Employment Status</w:t>
      </w:r>
      <w:r>
        <w:rPr>
          <w:noProof/>
        </w:rPr>
        <w:tab/>
      </w:r>
      <w:r>
        <w:rPr>
          <w:noProof/>
        </w:rPr>
        <w:fldChar w:fldCharType="begin"/>
      </w:r>
      <w:r>
        <w:rPr>
          <w:noProof/>
        </w:rPr>
        <w:instrText xml:space="preserve"> PAGEREF _Toc229126453 \h </w:instrText>
      </w:r>
      <w:r>
        <w:rPr>
          <w:noProof/>
        </w:rPr>
      </w:r>
      <w:r>
        <w:rPr>
          <w:noProof/>
        </w:rPr>
        <w:fldChar w:fldCharType="separate"/>
      </w:r>
      <w:r>
        <w:rPr>
          <w:noProof/>
        </w:rPr>
        <w:t>15</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Employment by Sector – Figure 1.6</w:t>
      </w:r>
      <w:r>
        <w:rPr>
          <w:noProof/>
        </w:rPr>
        <w:tab/>
      </w:r>
      <w:r>
        <w:rPr>
          <w:noProof/>
        </w:rPr>
        <w:fldChar w:fldCharType="begin"/>
      </w:r>
      <w:r>
        <w:rPr>
          <w:noProof/>
        </w:rPr>
        <w:instrText xml:space="preserve"> PAGEREF _Toc229126454 \h </w:instrText>
      </w:r>
      <w:r>
        <w:rPr>
          <w:noProof/>
        </w:rPr>
      </w:r>
      <w:r>
        <w:rPr>
          <w:noProof/>
        </w:rPr>
        <w:fldChar w:fldCharType="separate"/>
      </w:r>
      <w:r>
        <w:rPr>
          <w:noProof/>
        </w:rPr>
        <w:t>15</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Income Levels – Figure 1.7</w:t>
      </w:r>
      <w:r>
        <w:rPr>
          <w:noProof/>
        </w:rPr>
        <w:tab/>
      </w:r>
      <w:r>
        <w:rPr>
          <w:noProof/>
        </w:rPr>
        <w:fldChar w:fldCharType="begin"/>
      </w:r>
      <w:r>
        <w:rPr>
          <w:noProof/>
        </w:rPr>
        <w:instrText xml:space="preserve"> PAGEREF _Toc229126455 \h </w:instrText>
      </w:r>
      <w:r>
        <w:rPr>
          <w:noProof/>
        </w:rPr>
      </w:r>
      <w:r>
        <w:rPr>
          <w:noProof/>
        </w:rPr>
        <w:fldChar w:fldCharType="separate"/>
      </w:r>
      <w:r>
        <w:rPr>
          <w:noProof/>
        </w:rPr>
        <w:t>16</w:t>
      </w:r>
      <w:r>
        <w:rPr>
          <w:noProof/>
        </w:rPr>
        <w:fldChar w:fldCharType="end"/>
      </w:r>
    </w:p>
    <w:p w:rsidR="00D2730B" w:rsidRPr="00B87BAB" w:rsidRDefault="00D2730B">
      <w:pPr>
        <w:pStyle w:val="TOC1"/>
        <w:tabs>
          <w:tab w:val="right" w:leader="dot" w:pos="9350"/>
        </w:tabs>
        <w:rPr>
          <w:rFonts w:eastAsia="MS Mincho"/>
          <w:noProof/>
          <w:sz w:val="24"/>
          <w:szCs w:val="24"/>
          <w:lang w:eastAsia="ja-JP"/>
        </w:rPr>
      </w:pPr>
      <w:r w:rsidRPr="0021012C">
        <w:rPr>
          <w:noProof/>
        </w:rPr>
        <w:t>II. Secondary Data Analysis</w:t>
      </w:r>
      <w:r>
        <w:rPr>
          <w:noProof/>
        </w:rPr>
        <w:tab/>
      </w:r>
      <w:r>
        <w:rPr>
          <w:noProof/>
        </w:rPr>
        <w:fldChar w:fldCharType="begin"/>
      </w:r>
      <w:r>
        <w:rPr>
          <w:noProof/>
        </w:rPr>
        <w:instrText xml:space="preserve"> PAGEREF _Toc229126456 \h </w:instrText>
      </w:r>
      <w:r>
        <w:rPr>
          <w:noProof/>
        </w:rPr>
      </w:r>
      <w:r>
        <w:rPr>
          <w:noProof/>
        </w:rPr>
        <w:fldChar w:fldCharType="separate"/>
      </w:r>
      <w:r>
        <w:rPr>
          <w:noProof/>
        </w:rPr>
        <w:t>17</w:t>
      </w:r>
      <w:r>
        <w:rPr>
          <w:noProof/>
        </w:rPr>
        <w:fldChar w:fldCharType="end"/>
      </w:r>
    </w:p>
    <w:p w:rsidR="00D2730B" w:rsidRPr="00B87BAB" w:rsidRDefault="00D2730B">
      <w:pPr>
        <w:pStyle w:val="TOC2"/>
        <w:rPr>
          <w:rFonts w:eastAsia="MS Mincho"/>
          <w:noProof/>
          <w:sz w:val="24"/>
          <w:szCs w:val="24"/>
          <w:lang w:eastAsia="ja-JP"/>
        </w:rPr>
      </w:pPr>
      <w:r>
        <w:rPr>
          <w:noProof/>
        </w:rPr>
        <w:t>Health Measures</w:t>
      </w:r>
      <w:r>
        <w:rPr>
          <w:noProof/>
        </w:rPr>
        <w:tab/>
      </w:r>
      <w:r>
        <w:rPr>
          <w:noProof/>
        </w:rPr>
        <w:fldChar w:fldCharType="begin"/>
      </w:r>
      <w:r>
        <w:rPr>
          <w:noProof/>
        </w:rPr>
        <w:instrText xml:space="preserve"> PAGEREF _Toc229126457 \h </w:instrText>
      </w:r>
      <w:r>
        <w:rPr>
          <w:noProof/>
        </w:rPr>
      </w:r>
      <w:r>
        <w:rPr>
          <w:noProof/>
        </w:rPr>
        <w:fldChar w:fldCharType="separate"/>
      </w:r>
      <w:r>
        <w:rPr>
          <w:noProof/>
        </w:rPr>
        <w:t>17</w:t>
      </w:r>
      <w:r>
        <w:rPr>
          <w:noProof/>
        </w:rPr>
        <w:fldChar w:fldCharType="end"/>
      </w:r>
    </w:p>
    <w:p w:rsidR="00D2730B" w:rsidRPr="00B87BAB" w:rsidRDefault="00D2730B">
      <w:pPr>
        <w:pStyle w:val="TOC2"/>
        <w:rPr>
          <w:rFonts w:eastAsia="MS Mincho"/>
          <w:noProof/>
          <w:sz w:val="24"/>
          <w:szCs w:val="24"/>
          <w:lang w:eastAsia="ja-JP"/>
        </w:rPr>
      </w:pPr>
      <w:r w:rsidRPr="0021012C">
        <w:rPr>
          <w:noProof/>
        </w:rPr>
        <w:t>Health Outcomes</w:t>
      </w:r>
      <w:r>
        <w:rPr>
          <w:noProof/>
        </w:rPr>
        <w:tab/>
      </w:r>
      <w:r>
        <w:rPr>
          <w:noProof/>
        </w:rPr>
        <w:fldChar w:fldCharType="begin"/>
      </w:r>
      <w:r>
        <w:rPr>
          <w:noProof/>
        </w:rPr>
        <w:instrText xml:space="preserve"> PAGEREF _Toc229126458 \h </w:instrText>
      </w:r>
      <w:r>
        <w:rPr>
          <w:noProof/>
        </w:rPr>
      </w:r>
      <w:r>
        <w:rPr>
          <w:noProof/>
        </w:rPr>
        <w:fldChar w:fldCharType="separate"/>
      </w:r>
      <w:r>
        <w:rPr>
          <w:noProof/>
        </w:rPr>
        <w:t>18</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Mortality – Figure 2.1</w:t>
      </w:r>
      <w:r>
        <w:rPr>
          <w:noProof/>
        </w:rPr>
        <w:tab/>
      </w:r>
      <w:r>
        <w:rPr>
          <w:noProof/>
        </w:rPr>
        <w:fldChar w:fldCharType="begin"/>
      </w:r>
      <w:r>
        <w:rPr>
          <w:noProof/>
        </w:rPr>
        <w:instrText xml:space="preserve"> PAGEREF _Toc229126459 \h </w:instrText>
      </w:r>
      <w:r>
        <w:rPr>
          <w:noProof/>
        </w:rPr>
      </w:r>
      <w:r>
        <w:rPr>
          <w:noProof/>
        </w:rPr>
        <w:fldChar w:fldCharType="separate"/>
      </w:r>
      <w:r>
        <w:rPr>
          <w:noProof/>
        </w:rPr>
        <w:t>18</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Morbidity Measures – Figure 2.2</w:t>
      </w:r>
      <w:r>
        <w:rPr>
          <w:noProof/>
        </w:rPr>
        <w:tab/>
      </w:r>
      <w:r>
        <w:rPr>
          <w:noProof/>
        </w:rPr>
        <w:fldChar w:fldCharType="begin"/>
      </w:r>
      <w:r>
        <w:rPr>
          <w:noProof/>
        </w:rPr>
        <w:instrText xml:space="preserve"> PAGEREF _Toc229126460 \h </w:instrText>
      </w:r>
      <w:r>
        <w:rPr>
          <w:noProof/>
        </w:rPr>
      </w:r>
      <w:r>
        <w:rPr>
          <w:noProof/>
        </w:rPr>
        <w:fldChar w:fldCharType="separate"/>
      </w:r>
      <w:r>
        <w:rPr>
          <w:noProof/>
        </w:rPr>
        <w:t>19</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Morbidity Measures – Figure 2.3</w:t>
      </w:r>
      <w:r>
        <w:rPr>
          <w:noProof/>
        </w:rPr>
        <w:tab/>
      </w:r>
      <w:r>
        <w:rPr>
          <w:noProof/>
        </w:rPr>
        <w:fldChar w:fldCharType="begin"/>
      </w:r>
      <w:r>
        <w:rPr>
          <w:noProof/>
        </w:rPr>
        <w:instrText xml:space="preserve"> PAGEREF _Toc229126461 \h </w:instrText>
      </w:r>
      <w:r>
        <w:rPr>
          <w:noProof/>
        </w:rPr>
      </w:r>
      <w:r>
        <w:rPr>
          <w:noProof/>
        </w:rPr>
        <w:fldChar w:fldCharType="separate"/>
      </w:r>
      <w:r>
        <w:rPr>
          <w:noProof/>
        </w:rPr>
        <w:t>20</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Morbidity Measures – Figure 2.4</w:t>
      </w:r>
      <w:r>
        <w:rPr>
          <w:noProof/>
        </w:rPr>
        <w:tab/>
      </w:r>
      <w:r>
        <w:rPr>
          <w:noProof/>
        </w:rPr>
        <w:fldChar w:fldCharType="begin"/>
      </w:r>
      <w:r>
        <w:rPr>
          <w:noProof/>
        </w:rPr>
        <w:instrText xml:space="preserve"> PAGEREF _Toc229126462 \h </w:instrText>
      </w:r>
      <w:r>
        <w:rPr>
          <w:noProof/>
        </w:rPr>
      </w:r>
      <w:r>
        <w:rPr>
          <w:noProof/>
        </w:rPr>
        <w:fldChar w:fldCharType="separate"/>
      </w:r>
      <w:r>
        <w:rPr>
          <w:noProof/>
        </w:rPr>
        <w:t>21</w:t>
      </w:r>
      <w:r>
        <w:rPr>
          <w:noProof/>
        </w:rPr>
        <w:fldChar w:fldCharType="end"/>
      </w:r>
    </w:p>
    <w:p w:rsidR="00D2730B" w:rsidRPr="00B87BAB" w:rsidRDefault="00D2730B">
      <w:pPr>
        <w:pStyle w:val="TOC2"/>
        <w:rPr>
          <w:rFonts w:eastAsia="MS Mincho"/>
          <w:noProof/>
          <w:sz w:val="24"/>
          <w:szCs w:val="24"/>
          <w:lang w:eastAsia="ja-JP"/>
        </w:rPr>
      </w:pPr>
      <w:r w:rsidRPr="0021012C">
        <w:rPr>
          <w:noProof/>
        </w:rPr>
        <w:t>Health Factors</w:t>
      </w:r>
      <w:r>
        <w:rPr>
          <w:noProof/>
        </w:rPr>
        <w:tab/>
      </w:r>
      <w:r>
        <w:rPr>
          <w:noProof/>
        </w:rPr>
        <w:fldChar w:fldCharType="begin"/>
      </w:r>
      <w:r>
        <w:rPr>
          <w:noProof/>
        </w:rPr>
        <w:instrText xml:space="preserve"> PAGEREF _Toc229126463 \h </w:instrText>
      </w:r>
      <w:r>
        <w:rPr>
          <w:noProof/>
        </w:rPr>
      </w:r>
      <w:r>
        <w:rPr>
          <w:noProof/>
        </w:rPr>
        <w:fldChar w:fldCharType="separate"/>
      </w:r>
      <w:r>
        <w:rPr>
          <w:noProof/>
        </w:rPr>
        <w:t>22</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bCs/>
          <w:noProof/>
        </w:rPr>
        <w:t>Clinical Care</w:t>
      </w:r>
      <w:r w:rsidRPr="0021012C">
        <w:rPr>
          <w:noProof/>
        </w:rPr>
        <w:t xml:space="preserve"> – Figure 2.5</w:t>
      </w:r>
      <w:r>
        <w:rPr>
          <w:noProof/>
        </w:rPr>
        <w:tab/>
      </w:r>
      <w:r>
        <w:rPr>
          <w:noProof/>
        </w:rPr>
        <w:fldChar w:fldCharType="begin"/>
      </w:r>
      <w:r>
        <w:rPr>
          <w:noProof/>
        </w:rPr>
        <w:instrText xml:space="preserve"> PAGEREF _Toc229126464 \h </w:instrText>
      </w:r>
      <w:r>
        <w:rPr>
          <w:noProof/>
        </w:rPr>
      </w:r>
      <w:r>
        <w:rPr>
          <w:noProof/>
        </w:rPr>
        <w:fldChar w:fldCharType="separate"/>
      </w:r>
      <w:r>
        <w:rPr>
          <w:noProof/>
        </w:rPr>
        <w:t>22</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Health Behaviors – Figure 2.6</w:t>
      </w:r>
      <w:r>
        <w:rPr>
          <w:noProof/>
        </w:rPr>
        <w:tab/>
      </w:r>
      <w:r>
        <w:rPr>
          <w:noProof/>
        </w:rPr>
        <w:fldChar w:fldCharType="begin"/>
      </w:r>
      <w:r>
        <w:rPr>
          <w:noProof/>
        </w:rPr>
        <w:instrText xml:space="preserve"> PAGEREF _Toc229126465 \h </w:instrText>
      </w:r>
      <w:r>
        <w:rPr>
          <w:noProof/>
        </w:rPr>
      </w:r>
      <w:r>
        <w:rPr>
          <w:noProof/>
        </w:rPr>
        <w:fldChar w:fldCharType="separate"/>
      </w:r>
      <w:r>
        <w:rPr>
          <w:noProof/>
        </w:rPr>
        <w:t>23</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Health Behaviors – Figure 2.7</w:t>
      </w:r>
      <w:r>
        <w:rPr>
          <w:noProof/>
        </w:rPr>
        <w:tab/>
      </w:r>
      <w:r>
        <w:rPr>
          <w:noProof/>
        </w:rPr>
        <w:fldChar w:fldCharType="begin"/>
      </w:r>
      <w:r>
        <w:rPr>
          <w:noProof/>
        </w:rPr>
        <w:instrText xml:space="preserve"> PAGEREF _Toc229126466 \h </w:instrText>
      </w:r>
      <w:r>
        <w:rPr>
          <w:noProof/>
        </w:rPr>
      </w:r>
      <w:r>
        <w:rPr>
          <w:noProof/>
        </w:rPr>
        <w:fldChar w:fldCharType="separate"/>
      </w:r>
      <w:r>
        <w:rPr>
          <w:noProof/>
        </w:rPr>
        <w:t>24</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Health Behaviors – Figure 2.8</w:t>
      </w:r>
      <w:r>
        <w:rPr>
          <w:noProof/>
        </w:rPr>
        <w:tab/>
      </w:r>
      <w:r>
        <w:rPr>
          <w:noProof/>
        </w:rPr>
        <w:fldChar w:fldCharType="begin"/>
      </w:r>
      <w:r>
        <w:rPr>
          <w:noProof/>
        </w:rPr>
        <w:instrText xml:space="preserve"> PAGEREF _Toc229126467 \h </w:instrText>
      </w:r>
      <w:r>
        <w:rPr>
          <w:noProof/>
        </w:rPr>
      </w:r>
      <w:r>
        <w:rPr>
          <w:noProof/>
        </w:rPr>
        <w:fldChar w:fldCharType="separate"/>
      </w:r>
      <w:r>
        <w:rPr>
          <w:noProof/>
        </w:rPr>
        <w:t>25</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Health Behaviors – Figure 2.9</w:t>
      </w:r>
      <w:r>
        <w:rPr>
          <w:noProof/>
        </w:rPr>
        <w:tab/>
      </w:r>
      <w:r>
        <w:rPr>
          <w:noProof/>
        </w:rPr>
        <w:fldChar w:fldCharType="begin"/>
      </w:r>
      <w:r>
        <w:rPr>
          <w:noProof/>
        </w:rPr>
        <w:instrText xml:space="preserve"> PAGEREF _Toc229126468 \h </w:instrText>
      </w:r>
      <w:r>
        <w:rPr>
          <w:noProof/>
        </w:rPr>
      </w:r>
      <w:r>
        <w:rPr>
          <w:noProof/>
        </w:rPr>
        <w:fldChar w:fldCharType="separate"/>
      </w:r>
      <w:r>
        <w:rPr>
          <w:noProof/>
        </w:rPr>
        <w:t>26</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Health Behaviors – Figure 2.10</w:t>
      </w:r>
      <w:r>
        <w:rPr>
          <w:noProof/>
        </w:rPr>
        <w:tab/>
      </w:r>
      <w:r>
        <w:rPr>
          <w:noProof/>
        </w:rPr>
        <w:fldChar w:fldCharType="begin"/>
      </w:r>
      <w:r>
        <w:rPr>
          <w:noProof/>
        </w:rPr>
        <w:instrText xml:space="preserve"> PAGEREF _Toc229126469 \h </w:instrText>
      </w:r>
      <w:r>
        <w:rPr>
          <w:noProof/>
        </w:rPr>
      </w:r>
      <w:r>
        <w:rPr>
          <w:noProof/>
        </w:rPr>
        <w:fldChar w:fldCharType="separate"/>
      </w:r>
      <w:r>
        <w:rPr>
          <w:noProof/>
        </w:rPr>
        <w:t>27</w:t>
      </w:r>
      <w:r>
        <w:rPr>
          <w:noProof/>
        </w:rPr>
        <w:fldChar w:fldCharType="end"/>
      </w:r>
    </w:p>
    <w:p w:rsidR="00D2730B" w:rsidRPr="00B87BAB" w:rsidRDefault="00D2730B">
      <w:pPr>
        <w:pStyle w:val="TOC2"/>
        <w:rPr>
          <w:rFonts w:eastAsia="MS Mincho"/>
          <w:noProof/>
          <w:sz w:val="24"/>
          <w:szCs w:val="24"/>
          <w:lang w:eastAsia="ja-JP"/>
        </w:rPr>
      </w:pPr>
      <w:r w:rsidRPr="0021012C">
        <w:rPr>
          <w:noProof/>
        </w:rPr>
        <w:t>Adolescent, Teen, and Infant Health</w:t>
      </w:r>
      <w:r>
        <w:rPr>
          <w:noProof/>
        </w:rPr>
        <w:tab/>
      </w:r>
      <w:r>
        <w:rPr>
          <w:noProof/>
        </w:rPr>
        <w:fldChar w:fldCharType="begin"/>
      </w:r>
      <w:r>
        <w:rPr>
          <w:noProof/>
        </w:rPr>
        <w:instrText xml:space="preserve"> PAGEREF _Toc229126470 \h </w:instrText>
      </w:r>
      <w:r>
        <w:rPr>
          <w:noProof/>
        </w:rPr>
      </w:r>
      <w:r>
        <w:rPr>
          <w:noProof/>
        </w:rPr>
        <w:fldChar w:fldCharType="separate"/>
      </w:r>
      <w:r>
        <w:rPr>
          <w:noProof/>
        </w:rPr>
        <w:t>28</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lastRenderedPageBreak/>
        <w:t>Figure 2.11</w:t>
      </w:r>
      <w:r>
        <w:rPr>
          <w:noProof/>
        </w:rPr>
        <w:tab/>
      </w:r>
      <w:r>
        <w:rPr>
          <w:noProof/>
        </w:rPr>
        <w:fldChar w:fldCharType="begin"/>
      </w:r>
      <w:r>
        <w:rPr>
          <w:noProof/>
        </w:rPr>
        <w:instrText xml:space="preserve"> PAGEREF _Toc229126471 \h </w:instrText>
      </w:r>
      <w:r>
        <w:rPr>
          <w:noProof/>
        </w:rPr>
      </w:r>
      <w:r>
        <w:rPr>
          <w:noProof/>
        </w:rPr>
        <w:fldChar w:fldCharType="separate"/>
      </w:r>
      <w:r>
        <w:rPr>
          <w:noProof/>
        </w:rPr>
        <w:t>28</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Figure 2.12</w:t>
      </w:r>
      <w:r>
        <w:rPr>
          <w:noProof/>
        </w:rPr>
        <w:tab/>
      </w:r>
      <w:r>
        <w:rPr>
          <w:noProof/>
        </w:rPr>
        <w:fldChar w:fldCharType="begin"/>
      </w:r>
      <w:r>
        <w:rPr>
          <w:noProof/>
        </w:rPr>
        <w:instrText xml:space="preserve"> PAGEREF _Toc229126472 \h </w:instrText>
      </w:r>
      <w:r>
        <w:rPr>
          <w:noProof/>
        </w:rPr>
      </w:r>
      <w:r>
        <w:rPr>
          <w:noProof/>
        </w:rPr>
        <w:fldChar w:fldCharType="separate"/>
      </w:r>
      <w:r>
        <w:rPr>
          <w:noProof/>
        </w:rPr>
        <w:t>28</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Figure 2.13</w:t>
      </w:r>
      <w:r>
        <w:rPr>
          <w:noProof/>
        </w:rPr>
        <w:tab/>
      </w:r>
      <w:r>
        <w:rPr>
          <w:noProof/>
        </w:rPr>
        <w:fldChar w:fldCharType="begin"/>
      </w:r>
      <w:r>
        <w:rPr>
          <w:noProof/>
        </w:rPr>
        <w:instrText xml:space="preserve"> PAGEREF _Toc229126473 \h </w:instrText>
      </w:r>
      <w:r>
        <w:rPr>
          <w:noProof/>
        </w:rPr>
      </w:r>
      <w:r>
        <w:rPr>
          <w:noProof/>
        </w:rPr>
        <w:fldChar w:fldCharType="separate"/>
      </w:r>
      <w:r>
        <w:rPr>
          <w:noProof/>
        </w:rPr>
        <w:t>29</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rFonts w:cs="Calibri"/>
          <w:noProof/>
        </w:rPr>
        <w:t>Figure 2.14</w:t>
      </w:r>
      <w:r>
        <w:rPr>
          <w:noProof/>
        </w:rPr>
        <w:tab/>
      </w:r>
      <w:r>
        <w:rPr>
          <w:noProof/>
        </w:rPr>
        <w:fldChar w:fldCharType="begin"/>
      </w:r>
      <w:r>
        <w:rPr>
          <w:noProof/>
        </w:rPr>
        <w:instrText xml:space="preserve"> PAGEREF _Toc229126474 \h </w:instrText>
      </w:r>
      <w:r>
        <w:rPr>
          <w:noProof/>
        </w:rPr>
      </w:r>
      <w:r>
        <w:rPr>
          <w:noProof/>
        </w:rPr>
        <w:fldChar w:fldCharType="separate"/>
      </w:r>
      <w:r>
        <w:rPr>
          <w:noProof/>
        </w:rPr>
        <w:t>29</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rFonts w:cs="Calibri"/>
          <w:noProof/>
        </w:rPr>
        <w:t>Figure 2.15</w:t>
      </w:r>
      <w:r>
        <w:rPr>
          <w:noProof/>
        </w:rPr>
        <w:tab/>
      </w:r>
      <w:r>
        <w:rPr>
          <w:noProof/>
        </w:rPr>
        <w:fldChar w:fldCharType="begin"/>
      </w:r>
      <w:r>
        <w:rPr>
          <w:noProof/>
        </w:rPr>
        <w:instrText xml:space="preserve"> PAGEREF _Toc229126475 \h </w:instrText>
      </w:r>
      <w:r>
        <w:rPr>
          <w:noProof/>
        </w:rPr>
      </w:r>
      <w:r>
        <w:rPr>
          <w:noProof/>
        </w:rPr>
        <w:fldChar w:fldCharType="separate"/>
      </w:r>
      <w:r>
        <w:rPr>
          <w:noProof/>
        </w:rPr>
        <w:t>30</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rFonts w:cs="Calibri"/>
          <w:noProof/>
        </w:rPr>
        <w:t>Figure 2.16</w:t>
      </w:r>
      <w:r>
        <w:rPr>
          <w:noProof/>
        </w:rPr>
        <w:tab/>
      </w:r>
      <w:r>
        <w:rPr>
          <w:noProof/>
        </w:rPr>
        <w:fldChar w:fldCharType="begin"/>
      </w:r>
      <w:r>
        <w:rPr>
          <w:noProof/>
        </w:rPr>
        <w:instrText xml:space="preserve"> PAGEREF _Toc229126476 \h </w:instrText>
      </w:r>
      <w:r>
        <w:rPr>
          <w:noProof/>
        </w:rPr>
      </w:r>
      <w:r>
        <w:rPr>
          <w:noProof/>
        </w:rPr>
        <w:fldChar w:fldCharType="separate"/>
      </w:r>
      <w:r>
        <w:rPr>
          <w:noProof/>
        </w:rPr>
        <w:t>30</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Figure 2.17</w:t>
      </w:r>
      <w:r>
        <w:rPr>
          <w:noProof/>
        </w:rPr>
        <w:tab/>
      </w:r>
      <w:r>
        <w:rPr>
          <w:noProof/>
        </w:rPr>
        <w:fldChar w:fldCharType="begin"/>
      </w:r>
      <w:r>
        <w:rPr>
          <w:noProof/>
        </w:rPr>
        <w:instrText xml:space="preserve"> PAGEREF _Toc229126477 \h </w:instrText>
      </w:r>
      <w:r>
        <w:rPr>
          <w:noProof/>
        </w:rPr>
      </w:r>
      <w:r>
        <w:rPr>
          <w:noProof/>
        </w:rPr>
        <w:fldChar w:fldCharType="separate"/>
      </w:r>
      <w:r>
        <w:rPr>
          <w:noProof/>
        </w:rPr>
        <w:t>31</w:t>
      </w:r>
      <w:r>
        <w:rPr>
          <w:noProof/>
        </w:rPr>
        <w:fldChar w:fldCharType="end"/>
      </w:r>
    </w:p>
    <w:p w:rsidR="00D2730B" w:rsidRPr="00B87BAB" w:rsidRDefault="00D2730B">
      <w:pPr>
        <w:pStyle w:val="TOC2"/>
        <w:rPr>
          <w:rFonts w:eastAsia="MS Mincho"/>
          <w:noProof/>
          <w:sz w:val="24"/>
          <w:szCs w:val="24"/>
          <w:lang w:eastAsia="ja-JP"/>
        </w:rPr>
      </w:pPr>
      <w:r w:rsidRPr="0021012C">
        <w:rPr>
          <w:noProof/>
        </w:rPr>
        <w:t>Summary of Secondary Analysis</w:t>
      </w:r>
      <w:r>
        <w:rPr>
          <w:noProof/>
        </w:rPr>
        <w:tab/>
      </w:r>
      <w:r>
        <w:rPr>
          <w:noProof/>
        </w:rPr>
        <w:fldChar w:fldCharType="begin"/>
      </w:r>
      <w:r>
        <w:rPr>
          <w:noProof/>
        </w:rPr>
        <w:instrText xml:space="preserve"> PAGEREF _Toc229126478 \h </w:instrText>
      </w:r>
      <w:r>
        <w:rPr>
          <w:noProof/>
        </w:rPr>
      </w:r>
      <w:r>
        <w:rPr>
          <w:noProof/>
        </w:rPr>
        <w:fldChar w:fldCharType="separate"/>
      </w:r>
      <w:r>
        <w:rPr>
          <w:noProof/>
        </w:rPr>
        <w:t>32</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Figure 2.18</w:t>
      </w:r>
      <w:r>
        <w:rPr>
          <w:noProof/>
        </w:rPr>
        <w:tab/>
      </w:r>
      <w:r>
        <w:rPr>
          <w:noProof/>
        </w:rPr>
        <w:fldChar w:fldCharType="begin"/>
      </w:r>
      <w:r>
        <w:rPr>
          <w:noProof/>
        </w:rPr>
        <w:instrText xml:space="preserve"> PAGEREF _Toc229126479 \h </w:instrText>
      </w:r>
      <w:r>
        <w:rPr>
          <w:noProof/>
        </w:rPr>
      </w:r>
      <w:r>
        <w:rPr>
          <w:noProof/>
        </w:rPr>
        <w:fldChar w:fldCharType="separate"/>
      </w:r>
      <w:r>
        <w:rPr>
          <w:noProof/>
        </w:rPr>
        <w:t>32</w:t>
      </w:r>
      <w:r>
        <w:rPr>
          <w:noProof/>
        </w:rPr>
        <w:fldChar w:fldCharType="end"/>
      </w:r>
    </w:p>
    <w:p w:rsidR="00D2730B" w:rsidRPr="00B87BAB" w:rsidRDefault="00D2730B">
      <w:pPr>
        <w:pStyle w:val="TOC1"/>
        <w:tabs>
          <w:tab w:val="right" w:leader="dot" w:pos="9350"/>
        </w:tabs>
        <w:rPr>
          <w:rFonts w:eastAsia="MS Mincho"/>
          <w:noProof/>
          <w:sz w:val="24"/>
          <w:szCs w:val="24"/>
          <w:lang w:eastAsia="ja-JP"/>
        </w:rPr>
      </w:pPr>
      <w:r>
        <w:rPr>
          <w:noProof/>
        </w:rPr>
        <w:t>III. Current Healthcare Services and Facilities</w:t>
      </w:r>
      <w:r>
        <w:rPr>
          <w:noProof/>
        </w:rPr>
        <w:tab/>
      </w:r>
      <w:r>
        <w:rPr>
          <w:noProof/>
        </w:rPr>
        <w:fldChar w:fldCharType="begin"/>
      </w:r>
      <w:r>
        <w:rPr>
          <w:noProof/>
        </w:rPr>
        <w:instrText xml:space="preserve"> PAGEREF _Toc229126480 \h </w:instrText>
      </w:r>
      <w:r>
        <w:rPr>
          <w:noProof/>
        </w:rPr>
      </w:r>
      <w:r>
        <w:rPr>
          <w:noProof/>
        </w:rPr>
        <w:fldChar w:fldCharType="separate"/>
      </w:r>
      <w:r>
        <w:rPr>
          <w:noProof/>
        </w:rPr>
        <w:t>33</w:t>
      </w:r>
      <w:r>
        <w:rPr>
          <w:noProof/>
        </w:rPr>
        <w:fldChar w:fldCharType="end"/>
      </w:r>
    </w:p>
    <w:p w:rsidR="00D2730B" w:rsidRPr="00B87BAB" w:rsidRDefault="00D2730B">
      <w:pPr>
        <w:pStyle w:val="TOC2"/>
        <w:rPr>
          <w:rFonts w:eastAsia="MS Mincho"/>
          <w:noProof/>
          <w:sz w:val="24"/>
          <w:szCs w:val="24"/>
          <w:lang w:eastAsia="ja-JP"/>
        </w:rPr>
      </w:pPr>
      <w:r w:rsidRPr="0021012C">
        <w:rPr>
          <w:noProof/>
        </w:rPr>
        <w:t>Hospitals</w:t>
      </w:r>
      <w:r>
        <w:rPr>
          <w:noProof/>
        </w:rPr>
        <w:tab/>
      </w:r>
      <w:r>
        <w:rPr>
          <w:noProof/>
        </w:rPr>
        <w:fldChar w:fldCharType="begin"/>
      </w:r>
      <w:r>
        <w:rPr>
          <w:noProof/>
        </w:rPr>
        <w:instrText xml:space="preserve"> PAGEREF _Toc229126481 \h </w:instrText>
      </w:r>
      <w:r>
        <w:rPr>
          <w:noProof/>
        </w:rPr>
      </w:r>
      <w:r>
        <w:rPr>
          <w:noProof/>
        </w:rPr>
        <w:fldChar w:fldCharType="separate"/>
      </w:r>
      <w:r>
        <w:rPr>
          <w:noProof/>
        </w:rPr>
        <w:t>33</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General John J. Pershing Memorial Hospital – Pershing Health System</w:t>
      </w:r>
      <w:r>
        <w:rPr>
          <w:noProof/>
        </w:rPr>
        <w:tab/>
      </w:r>
      <w:r>
        <w:rPr>
          <w:noProof/>
        </w:rPr>
        <w:fldChar w:fldCharType="begin"/>
      </w:r>
      <w:r>
        <w:rPr>
          <w:noProof/>
        </w:rPr>
        <w:instrText xml:space="preserve"> PAGEREF _Toc229126482 \h </w:instrText>
      </w:r>
      <w:r>
        <w:rPr>
          <w:noProof/>
        </w:rPr>
      </w:r>
      <w:r>
        <w:rPr>
          <w:noProof/>
        </w:rPr>
        <w:fldChar w:fldCharType="separate"/>
      </w:r>
      <w:r>
        <w:rPr>
          <w:noProof/>
        </w:rPr>
        <w:t>33</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Hedrick Medical Center – Saint Luke’s Health System</w:t>
      </w:r>
      <w:r>
        <w:rPr>
          <w:noProof/>
        </w:rPr>
        <w:tab/>
      </w:r>
      <w:r>
        <w:rPr>
          <w:noProof/>
        </w:rPr>
        <w:fldChar w:fldCharType="begin"/>
      </w:r>
      <w:r>
        <w:rPr>
          <w:noProof/>
        </w:rPr>
        <w:instrText xml:space="preserve"> PAGEREF _Toc229126483 \h </w:instrText>
      </w:r>
      <w:r>
        <w:rPr>
          <w:noProof/>
        </w:rPr>
      </w:r>
      <w:r>
        <w:rPr>
          <w:noProof/>
        </w:rPr>
        <w:fldChar w:fldCharType="separate"/>
      </w:r>
      <w:r>
        <w:rPr>
          <w:noProof/>
        </w:rPr>
        <w:t>34</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Wright Memorial hospital – Saint Luke’s Health System</w:t>
      </w:r>
      <w:r>
        <w:rPr>
          <w:noProof/>
        </w:rPr>
        <w:tab/>
      </w:r>
      <w:r>
        <w:rPr>
          <w:noProof/>
        </w:rPr>
        <w:fldChar w:fldCharType="begin"/>
      </w:r>
      <w:r>
        <w:rPr>
          <w:noProof/>
        </w:rPr>
        <w:instrText xml:space="preserve"> PAGEREF _Toc229126484 \h </w:instrText>
      </w:r>
      <w:r>
        <w:rPr>
          <w:noProof/>
        </w:rPr>
      </w:r>
      <w:r>
        <w:rPr>
          <w:noProof/>
        </w:rPr>
        <w:fldChar w:fldCharType="separate"/>
      </w:r>
      <w:r>
        <w:rPr>
          <w:noProof/>
        </w:rPr>
        <w:t>34</w:t>
      </w:r>
      <w:r>
        <w:rPr>
          <w:noProof/>
        </w:rPr>
        <w:fldChar w:fldCharType="end"/>
      </w:r>
    </w:p>
    <w:p w:rsidR="00D2730B" w:rsidRPr="00B87BAB" w:rsidRDefault="00D2730B">
      <w:pPr>
        <w:pStyle w:val="TOC2"/>
        <w:rPr>
          <w:rFonts w:eastAsia="MS Mincho"/>
          <w:noProof/>
          <w:sz w:val="24"/>
          <w:szCs w:val="24"/>
          <w:lang w:eastAsia="ja-JP"/>
        </w:rPr>
      </w:pPr>
      <w:r w:rsidRPr="0021012C">
        <w:rPr>
          <w:noProof/>
        </w:rPr>
        <w:t>Safety Net Clinics</w:t>
      </w:r>
      <w:r>
        <w:rPr>
          <w:noProof/>
        </w:rPr>
        <w:tab/>
      </w:r>
      <w:r>
        <w:rPr>
          <w:noProof/>
        </w:rPr>
        <w:fldChar w:fldCharType="begin"/>
      </w:r>
      <w:r>
        <w:rPr>
          <w:noProof/>
        </w:rPr>
        <w:instrText xml:space="preserve"> PAGEREF _Toc229126485 \h </w:instrText>
      </w:r>
      <w:r>
        <w:rPr>
          <w:noProof/>
        </w:rPr>
      </w:r>
      <w:r>
        <w:rPr>
          <w:noProof/>
        </w:rPr>
        <w:fldChar w:fldCharType="separate"/>
      </w:r>
      <w:r>
        <w:rPr>
          <w:noProof/>
        </w:rPr>
        <w:t>34</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Linn County Health Department</w:t>
      </w:r>
      <w:r>
        <w:rPr>
          <w:noProof/>
        </w:rPr>
        <w:tab/>
      </w:r>
      <w:r>
        <w:rPr>
          <w:noProof/>
        </w:rPr>
        <w:fldChar w:fldCharType="begin"/>
      </w:r>
      <w:r>
        <w:rPr>
          <w:noProof/>
        </w:rPr>
        <w:instrText xml:space="preserve"> PAGEREF _Toc229126486 \h </w:instrText>
      </w:r>
      <w:r>
        <w:rPr>
          <w:noProof/>
        </w:rPr>
      </w:r>
      <w:r>
        <w:rPr>
          <w:noProof/>
        </w:rPr>
        <w:fldChar w:fldCharType="separate"/>
      </w:r>
      <w:r>
        <w:rPr>
          <w:noProof/>
        </w:rPr>
        <w:t>34</w:t>
      </w:r>
      <w:r>
        <w:rPr>
          <w:noProof/>
        </w:rPr>
        <w:fldChar w:fldCharType="end"/>
      </w:r>
    </w:p>
    <w:p w:rsidR="00D2730B" w:rsidRPr="00B87BAB" w:rsidRDefault="00D2730B">
      <w:pPr>
        <w:pStyle w:val="TOC2"/>
        <w:rPr>
          <w:rFonts w:eastAsia="MS Mincho"/>
          <w:noProof/>
          <w:sz w:val="24"/>
          <w:szCs w:val="24"/>
          <w:lang w:eastAsia="ja-JP"/>
        </w:rPr>
      </w:pPr>
      <w:r w:rsidRPr="0021012C">
        <w:rPr>
          <w:noProof/>
        </w:rPr>
        <w:t>Additional Healthcare Institutions</w:t>
      </w:r>
      <w:r>
        <w:rPr>
          <w:noProof/>
        </w:rPr>
        <w:tab/>
      </w:r>
      <w:r>
        <w:rPr>
          <w:noProof/>
        </w:rPr>
        <w:fldChar w:fldCharType="begin"/>
      </w:r>
      <w:r>
        <w:rPr>
          <w:noProof/>
        </w:rPr>
        <w:instrText xml:space="preserve"> PAGEREF _Toc229126487 \h </w:instrText>
      </w:r>
      <w:r>
        <w:rPr>
          <w:noProof/>
        </w:rPr>
      </w:r>
      <w:r>
        <w:rPr>
          <w:noProof/>
        </w:rPr>
        <w:fldChar w:fldCharType="separate"/>
      </w:r>
      <w:r>
        <w:rPr>
          <w:noProof/>
        </w:rPr>
        <w:t>35</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Appelgate Medical Group – Community Medical Associates – Meadville Medical Clinic</w:t>
      </w:r>
      <w:r>
        <w:rPr>
          <w:noProof/>
        </w:rPr>
        <w:tab/>
      </w:r>
      <w:r>
        <w:rPr>
          <w:noProof/>
        </w:rPr>
        <w:fldChar w:fldCharType="begin"/>
      </w:r>
      <w:r>
        <w:rPr>
          <w:noProof/>
        </w:rPr>
        <w:instrText xml:space="preserve"> PAGEREF _Toc229126488 \h </w:instrText>
      </w:r>
      <w:r>
        <w:rPr>
          <w:noProof/>
        </w:rPr>
      </w:r>
      <w:r>
        <w:rPr>
          <w:noProof/>
        </w:rPr>
        <w:fldChar w:fldCharType="separate"/>
      </w:r>
      <w:r>
        <w:rPr>
          <w:noProof/>
        </w:rPr>
        <w:t>35</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Independent Physician –Michael Crist, D.O.</w:t>
      </w:r>
      <w:r>
        <w:rPr>
          <w:noProof/>
        </w:rPr>
        <w:tab/>
      </w:r>
      <w:r>
        <w:rPr>
          <w:noProof/>
        </w:rPr>
        <w:fldChar w:fldCharType="begin"/>
      </w:r>
      <w:r>
        <w:rPr>
          <w:noProof/>
        </w:rPr>
        <w:instrText xml:space="preserve"> PAGEREF _Toc229126489 \h </w:instrText>
      </w:r>
      <w:r>
        <w:rPr>
          <w:noProof/>
        </w:rPr>
      </w:r>
      <w:r>
        <w:rPr>
          <w:noProof/>
        </w:rPr>
        <w:fldChar w:fldCharType="separate"/>
      </w:r>
      <w:r>
        <w:rPr>
          <w:noProof/>
        </w:rPr>
        <w:t>35</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Assisted Living And Adult Care Homes</w:t>
      </w:r>
      <w:r>
        <w:rPr>
          <w:noProof/>
        </w:rPr>
        <w:tab/>
      </w:r>
      <w:r>
        <w:rPr>
          <w:noProof/>
        </w:rPr>
        <w:fldChar w:fldCharType="begin"/>
      </w:r>
      <w:r>
        <w:rPr>
          <w:noProof/>
        </w:rPr>
        <w:instrText xml:space="preserve"> PAGEREF _Toc229126490 \h </w:instrText>
      </w:r>
      <w:r>
        <w:rPr>
          <w:noProof/>
        </w:rPr>
      </w:r>
      <w:r>
        <w:rPr>
          <w:noProof/>
        </w:rPr>
        <w:fldChar w:fldCharType="separate"/>
      </w:r>
      <w:r>
        <w:rPr>
          <w:noProof/>
        </w:rPr>
        <w:t>35</w:t>
      </w:r>
      <w:r>
        <w:rPr>
          <w:noProof/>
        </w:rPr>
        <w:fldChar w:fldCharType="end"/>
      </w:r>
    </w:p>
    <w:p w:rsidR="00D2730B" w:rsidRPr="00B87BAB" w:rsidRDefault="00D2730B">
      <w:pPr>
        <w:pStyle w:val="TOC1"/>
        <w:tabs>
          <w:tab w:val="right" w:leader="dot" w:pos="9350"/>
        </w:tabs>
        <w:rPr>
          <w:rFonts w:eastAsia="MS Mincho"/>
          <w:noProof/>
          <w:sz w:val="24"/>
          <w:szCs w:val="24"/>
          <w:lang w:eastAsia="ja-JP"/>
        </w:rPr>
      </w:pPr>
      <w:r>
        <w:rPr>
          <w:noProof/>
        </w:rPr>
        <w:t xml:space="preserve">IV. </w:t>
      </w:r>
      <w:r w:rsidRPr="0021012C">
        <w:rPr>
          <w:noProof/>
        </w:rPr>
        <w:t>Linn</w:t>
      </w:r>
      <w:r>
        <w:rPr>
          <w:noProof/>
        </w:rPr>
        <w:t xml:space="preserve"> County Economic profile</w:t>
      </w:r>
      <w:r>
        <w:rPr>
          <w:noProof/>
        </w:rPr>
        <w:tab/>
      </w:r>
      <w:r>
        <w:rPr>
          <w:noProof/>
        </w:rPr>
        <w:fldChar w:fldCharType="begin"/>
      </w:r>
      <w:r>
        <w:rPr>
          <w:noProof/>
        </w:rPr>
        <w:instrText xml:space="preserve"> PAGEREF _Toc229126491 \h </w:instrText>
      </w:r>
      <w:r>
        <w:rPr>
          <w:noProof/>
        </w:rPr>
      </w:r>
      <w:r>
        <w:rPr>
          <w:noProof/>
        </w:rPr>
        <w:fldChar w:fldCharType="separate"/>
      </w:r>
      <w:r>
        <w:rPr>
          <w:noProof/>
        </w:rPr>
        <w:t>36</w:t>
      </w:r>
      <w:r>
        <w:rPr>
          <w:noProof/>
        </w:rPr>
        <w:fldChar w:fldCharType="end"/>
      </w:r>
    </w:p>
    <w:p w:rsidR="00D2730B" w:rsidRPr="00B87BAB" w:rsidRDefault="00D2730B">
      <w:pPr>
        <w:pStyle w:val="TOC2"/>
        <w:rPr>
          <w:rFonts w:eastAsia="MS Mincho"/>
          <w:noProof/>
          <w:sz w:val="24"/>
          <w:szCs w:val="24"/>
          <w:lang w:eastAsia="ja-JP"/>
        </w:rPr>
      </w:pPr>
      <w:r w:rsidRPr="0021012C">
        <w:rPr>
          <w:noProof/>
        </w:rPr>
        <w:t>Employment Statistics</w:t>
      </w:r>
      <w:r>
        <w:rPr>
          <w:noProof/>
        </w:rPr>
        <w:tab/>
      </w:r>
      <w:r>
        <w:rPr>
          <w:noProof/>
        </w:rPr>
        <w:fldChar w:fldCharType="begin"/>
      </w:r>
      <w:r>
        <w:rPr>
          <w:noProof/>
        </w:rPr>
        <w:instrText xml:space="preserve"> PAGEREF _Toc229126492 \h </w:instrText>
      </w:r>
      <w:r>
        <w:rPr>
          <w:noProof/>
        </w:rPr>
      </w:r>
      <w:r>
        <w:rPr>
          <w:noProof/>
        </w:rPr>
        <w:fldChar w:fldCharType="separate"/>
      </w:r>
      <w:r>
        <w:rPr>
          <w:noProof/>
        </w:rPr>
        <w:t>36</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Employment Status – Figure 4.1</w:t>
      </w:r>
      <w:r>
        <w:rPr>
          <w:noProof/>
        </w:rPr>
        <w:tab/>
      </w:r>
      <w:r>
        <w:rPr>
          <w:noProof/>
        </w:rPr>
        <w:fldChar w:fldCharType="begin"/>
      </w:r>
      <w:r>
        <w:rPr>
          <w:noProof/>
        </w:rPr>
        <w:instrText xml:space="preserve"> PAGEREF _Toc229126493 \h </w:instrText>
      </w:r>
      <w:r>
        <w:rPr>
          <w:noProof/>
        </w:rPr>
      </w:r>
      <w:r>
        <w:rPr>
          <w:noProof/>
        </w:rPr>
        <w:fldChar w:fldCharType="separate"/>
      </w:r>
      <w:r>
        <w:rPr>
          <w:noProof/>
        </w:rPr>
        <w:t>36</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Class of Worker – Figure 4.2</w:t>
      </w:r>
      <w:r>
        <w:rPr>
          <w:noProof/>
        </w:rPr>
        <w:tab/>
      </w:r>
      <w:r>
        <w:rPr>
          <w:noProof/>
        </w:rPr>
        <w:fldChar w:fldCharType="begin"/>
      </w:r>
      <w:r>
        <w:rPr>
          <w:noProof/>
        </w:rPr>
        <w:instrText xml:space="preserve"> PAGEREF _Toc229126494 \h </w:instrText>
      </w:r>
      <w:r>
        <w:rPr>
          <w:noProof/>
        </w:rPr>
      </w:r>
      <w:r>
        <w:rPr>
          <w:noProof/>
        </w:rPr>
        <w:fldChar w:fldCharType="separate"/>
      </w:r>
      <w:r>
        <w:rPr>
          <w:noProof/>
        </w:rPr>
        <w:t>37</w:t>
      </w:r>
      <w:r>
        <w:rPr>
          <w:noProof/>
        </w:rPr>
        <w:fldChar w:fldCharType="end"/>
      </w:r>
    </w:p>
    <w:p w:rsidR="00D2730B" w:rsidRPr="00B87BAB" w:rsidRDefault="00D2730B">
      <w:pPr>
        <w:pStyle w:val="TOC2"/>
        <w:rPr>
          <w:rFonts w:eastAsia="MS Mincho"/>
          <w:noProof/>
          <w:sz w:val="24"/>
          <w:szCs w:val="24"/>
          <w:lang w:eastAsia="ja-JP"/>
        </w:rPr>
      </w:pPr>
      <w:r w:rsidRPr="0021012C">
        <w:rPr>
          <w:noProof/>
        </w:rPr>
        <w:t>Income Statistics</w:t>
      </w:r>
      <w:r>
        <w:rPr>
          <w:noProof/>
        </w:rPr>
        <w:tab/>
      </w:r>
      <w:r>
        <w:rPr>
          <w:noProof/>
        </w:rPr>
        <w:fldChar w:fldCharType="begin"/>
      </w:r>
      <w:r>
        <w:rPr>
          <w:noProof/>
        </w:rPr>
        <w:instrText xml:space="preserve"> PAGEREF _Toc229126495 \h </w:instrText>
      </w:r>
      <w:r>
        <w:rPr>
          <w:noProof/>
        </w:rPr>
      </w:r>
      <w:r>
        <w:rPr>
          <w:noProof/>
        </w:rPr>
        <w:fldChar w:fldCharType="separate"/>
      </w:r>
      <w:r>
        <w:rPr>
          <w:noProof/>
        </w:rPr>
        <w:t>37</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Families Below Federal Poverty Level – Figure 4.3</w:t>
      </w:r>
      <w:r>
        <w:rPr>
          <w:noProof/>
        </w:rPr>
        <w:tab/>
      </w:r>
      <w:r>
        <w:rPr>
          <w:noProof/>
        </w:rPr>
        <w:fldChar w:fldCharType="begin"/>
      </w:r>
      <w:r>
        <w:rPr>
          <w:noProof/>
        </w:rPr>
        <w:instrText xml:space="preserve"> PAGEREF _Toc229126496 \h </w:instrText>
      </w:r>
      <w:r>
        <w:rPr>
          <w:noProof/>
        </w:rPr>
      </w:r>
      <w:r>
        <w:rPr>
          <w:noProof/>
        </w:rPr>
        <w:fldChar w:fldCharType="separate"/>
      </w:r>
      <w:r>
        <w:rPr>
          <w:noProof/>
        </w:rPr>
        <w:t>37</w:t>
      </w:r>
      <w:r>
        <w:rPr>
          <w:noProof/>
        </w:rPr>
        <w:fldChar w:fldCharType="end"/>
      </w:r>
    </w:p>
    <w:p w:rsidR="00D2730B" w:rsidRPr="00B87BAB" w:rsidRDefault="00D2730B">
      <w:pPr>
        <w:pStyle w:val="TOC2"/>
        <w:rPr>
          <w:rFonts w:eastAsia="MS Mincho"/>
          <w:noProof/>
          <w:sz w:val="24"/>
          <w:szCs w:val="24"/>
          <w:lang w:eastAsia="ja-JP"/>
        </w:rPr>
      </w:pPr>
      <w:r w:rsidRPr="0021012C">
        <w:rPr>
          <w:noProof/>
        </w:rPr>
        <w:t>Local Factors Affecting Health</w:t>
      </w:r>
      <w:r>
        <w:rPr>
          <w:noProof/>
        </w:rPr>
        <w:tab/>
      </w:r>
      <w:r>
        <w:rPr>
          <w:noProof/>
        </w:rPr>
        <w:fldChar w:fldCharType="begin"/>
      </w:r>
      <w:r>
        <w:rPr>
          <w:noProof/>
        </w:rPr>
        <w:instrText xml:space="preserve"> PAGEREF _Toc229126497 \h </w:instrText>
      </w:r>
      <w:r>
        <w:rPr>
          <w:noProof/>
        </w:rPr>
      </w:r>
      <w:r>
        <w:rPr>
          <w:noProof/>
        </w:rPr>
        <w:fldChar w:fldCharType="separate"/>
      </w:r>
      <w:r>
        <w:rPr>
          <w:noProof/>
        </w:rPr>
        <w:t>38</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Family And Social Support – Figure 4.4</w:t>
      </w:r>
      <w:r>
        <w:rPr>
          <w:noProof/>
        </w:rPr>
        <w:tab/>
      </w:r>
      <w:r>
        <w:rPr>
          <w:noProof/>
        </w:rPr>
        <w:fldChar w:fldCharType="begin"/>
      </w:r>
      <w:r>
        <w:rPr>
          <w:noProof/>
        </w:rPr>
        <w:instrText xml:space="preserve"> PAGEREF _Toc229126498 \h </w:instrText>
      </w:r>
      <w:r>
        <w:rPr>
          <w:noProof/>
        </w:rPr>
      </w:r>
      <w:r>
        <w:rPr>
          <w:noProof/>
        </w:rPr>
        <w:fldChar w:fldCharType="separate"/>
      </w:r>
      <w:r>
        <w:rPr>
          <w:noProof/>
        </w:rPr>
        <w:t>38</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Physical Environment – Figure 4.5</w:t>
      </w:r>
      <w:r>
        <w:rPr>
          <w:noProof/>
        </w:rPr>
        <w:tab/>
      </w:r>
      <w:r>
        <w:rPr>
          <w:noProof/>
        </w:rPr>
        <w:fldChar w:fldCharType="begin"/>
      </w:r>
      <w:r>
        <w:rPr>
          <w:noProof/>
        </w:rPr>
        <w:instrText xml:space="preserve"> PAGEREF _Toc229126499 \h </w:instrText>
      </w:r>
      <w:r>
        <w:rPr>
          <w:noProof/>
        </w:rPr>
      </w:r>
      <w:r>
        <w:rPr>
          <w:noProof/>
        </w:rPr>
        <w:fldChar w:fldCharType="separate"/>
      </w:r>
      <w:r>
        <w:rPr>
          <w:noProof/>
        </w:rPr>
        <w:t>39</w:t>
      </w:r>
      <w:r>
        <w:rPr>
          <w:noProof/>
        </w:rPr>
        <w:fldChar w:fldCharType="end"/>
      </w:r>
    </w:p>
    <w:p w:rsidR="00D2730B" w:rsidRPr="00B87BAB" w:rsidRDefault="00D2730B">
      <w:pPr>
        <w:pStyle w:val="TOC1"/>
        <w:tabs>
          <w:tab w:val="right" w:leader="dot" w:pos="9350"/>
        </w:tabs>
        <w:rPr>
          <w:rFonts w:eastAsia="MS Mincho"/>
          <w:noProof/>
          <w:sz w:val="24"/>
          <w:szCs w:val="24"/>
          <w:lang w:eastAsia="ja-JP"/>
        </w:rPr>
      </w:pPr>
      <w:r w:rsidRPr="0021012C">
        <w:rPr>
          <w:noProof/>
        </w:rPr>
        <w:t>V. Expert Opinion of Healthcare Partners &amp; Stakeholders in the Community</w:t>
      </w:r>
      <w:r>
        <w:rPr>
          <w:noProof/>
        </w:rPr>
        <w:tab/>
      </w:r>
      <w:r>
        <w:rPr>
          <w:noProof/>
        </w:rPr>
        <w:fldChar w:fldCharType="begin"/>
      </w:r>
      <w:r>
        <w:rPr>
          <w:noProof/>
        </w:rPr>
        <w:instrText xml:space="preserve"> PAGEREF _Toc229126500 \h </w:instrText>
      </w:r>
      <w:r>
        <w:rPr>
          <w:noProof/>
        </w:rPr>
      </w:r>
      <w:r>
        <w:rPr>
          <w:noProof/>
        </w:rPr>
        <w:fldChar w:fldCharType="separate"/>
      </w:r>
      <w:r>
        <w:rPr>
          <w:noProof/>
        </w:rPr>
        <w:t>40</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Public Opinion</w:t>
      </w:r>
      <w:r>
        <w:rPr>
          <w:noProof/>
        </w:rPr>
        <w:tab/>
      </w:r>
      <w:r>
        <w:rPr>
          <w:noProof/>
        </w:rPr>
        <w:fldChar w:fldCharType="begin"/>
      </w:r>
      <w:r>
        <w:rPr>
          <w:noProof/>
        </w:rPr>
        <w:instrText xml:space="preserve"> PAGEREF _Toc229126501 \h </w:instrText>
      </w:r>
      <w:r>
        <w:rPr>
          <w:noProof/>
        </w:rPr>
      </w:r>
      <w:r>
        <w:rPr>
          <w:noProof/>
        </w:rPr>
        <w:fldChar w:fldCharType="separate"/>
      </w:r>
      <w:r>
        <w:rPr>
          <w:noProof/>
        </w:rPr>
        <w:t>40</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Medically Underserved, Low-Income, and Minority Populations</w:t>
      </w:r>
      <w:r>
        <w:rPr>
          <w:noProof/>
        </w:rPr>
        <w:tab/>
      </w:r>
      <w:r>
        <w:rPr>
          <w:noProof/>
        </w:rPr>
        <w:fldChar w:fldCharType="begin"/>
      </w:r>
      <w:r>
        <w:rPr>
          <w:noProof/>
        </w:rPr>
        <w:instrText xml:space="preserve"> PAGEREF _Toc229126502 \h </w:instrText>
      </w:r>
      <w:r>
        <w:rPr>
          <w:noProof/>
        </w:rPr>
      </w:r>
      <w:r>
        <w:rPr>
          <w:noProof/>
        </w:rPr>
        <w:fldChar w:fldCharType="separate"/>
      </w:r>
      <w:r>
        <w:rPr>
          <w:noProof/>
        </w:rPr>
        <w:t>41</w:t>
      </w:r>
      <w:r>
        <w:rPr>
          <w:noProof/>
        </w:rPr>
        <w:fldChar w:fldCharType="end"/>
      </w:r>
    </w:p>
    <w:p w:rsidR="00D2730B" w:rsidRPr="00B87BAB" w:rsidRDefault="00D2730B">
      <w:pPr>
        <w:pStyle w:val="TOC2"/>
        <w:rPr>
          <w:rFonts w:eastAsia="MS Mincho"/>
          <w:noProof/>
          <w:sz w:val="24"/>
          <w:szCs w:val="24"/>
          <w:lang w:eastAsia="ja-JP"/>
        </w:rPr>
      </w:pPr>
      <w:r w:rsidRPr="0021012C">
        <w:rPr>
          <w:noProof/>
        </w:rPr>
        <w:t>Primary Needs Identified By The Linn County Community</w:t>
      </w:r>
      <w:r>
        <w:rPr>
          <w:noProof/>
        </w:rPr>
        <w:tab/>
      </w:r>
      <w:r>
        <w:rPr>
          <w:noProof/>
        </w:rPr>
        <w:fldChar w:fldCharType="begin"/>
      </w:r>
      <w:r>
        <w:rPr>
          <w:noProof/>
        </w:rPr>
        <w:instrText xml:space="preserve"> PAGEREF _Toc229126503 \h </w:instrText>
      </w:r>
      <w:r>
        <w:rPr>
          <w:noProof/>
        </w:rPr>
      </w:r>
      <w:r>
        <w:rPr>
          <w:noProof/>
        </w:rPr>
        <w:fldChar w:fldCharType="separate"/>
      </w:r>
      <w:r>
        <w:rPr>
          <w:noProof/>
        </w:rPr>
        <w:t>41</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Adult Obesity</w:t>
      </w:r>
      <w:r>
        <w:rPr>
          <w:noProof/>
        </w:rPr>
        <w:tab/>
      </w:r>
      <w:r>
        <w:rPr>
          <w:noProof/>
        </w:rPr>
        <w:fldChar w:fldCharType="begin"/>
      </w:r>
      <w:r>
        <w:rPr>
          <w:noProof/>
        </w:rPr>
        <w:instrText xml:space="preserve"> PAGEREF _Toc229126504 \h </w:instrText>
      </w:r>
      <w:r>
        <w:rPr>
          <w:noProof/>
        </w:rPr>
      </w:r>
      <w:r>
        <w:rPr>
          <w:noProof/>
        </w:rPr>
        <w:fldChar w:fldCharType="separate"/>
      </w:r>
      <w:r>
        <w:rPr>
          <w:noProof/>
        </w:rPr>
        <w:t>41</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Adult Smoking</w:t>
      </w:r>
      <w:r>
        <w:rPr>
          <w:noProof/>
        </w:rPr>
        <w:tab/>
      </w:r>
      <w:r>
        <w:rPr>
          <w:noProof/>
        </w:rPr>
        <w:fldChar w:fldCharType="begin"/>
      </w:r>
      <w:r>
        <w:rPr>
          <w:noProof/>
        </w:rPr>
        <w:instrText xml:space="preserve"> PAGEREF _Toc229126505 \h </w:instrText>
      </w:r>
      <w:r>
        <w:rPr>
          <w:noProof/>
        </w:rPr>
      </w:r>
      <w:r>
        <w:rPr>
          <w:noProof/>
        </w:rPr>
        <w:fldChar w:fldCharType="separate"/>
      </w:r>
      <w:r>
        <w:rPr>
          <w:noProof/>
        </w:rPr>
        <w:t>41</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lastRenderedPageBreak/>
        <w:t>A Lack Of Access To Mental Health Providers And Services</w:t>
      </w:r>
      <w:r>
        <w:rPr>
          <w:noProof/>
        </w:rPr>
        <w:tab/>
      </w:r>
      <w:r>
        <w:rPr>
          <w:noProof/>
        </w:rPr>
        <w:fldChar w:fldCharType="begin"/>
      </w:r>
      <w:r>
        <w:rPr>
          <w:noProof/>
        </w:rPr>
        <w:instrText xml:space="preserve"> PAGEREF _Toc229126506 \h </w:instrText>
      </w:r>
      <w:r>
        <w:rPr>
          <w:noProof/>
        </w:rPr>
      </w:r>
      <w:r>
        <w:rPr>
          <w:noProof/>
        </w:rPr>
        <w:fldChar w:fldCharType="separate"/>
      </w:r>
      <w:r>
        <w:rPr>
          <w:noProof/>
        </w:rPr>
        <w:t>41</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Children In Poverty</w:t>
      </w:r>
      <w:r>
        <w:rPr>
          <w:noProof/>
        </w:rPr>
        <w:tab/>
      </w:r>
      <w:r>
        <w:rPr>
          <w:noProof/>
        </w:rPr>
        <w:fldChar w:fldCharType="begin"/>
      </w:r>
      <w:r>
        <w:rPr>
          <w:noProof/>
        </w:rPr>
        <w:instrText xml:space="preserve"> PAGEREF _Toc229126507 \h </w:instrText>
      </w:r>
      <w:r>
        <w:rPr>
          <w:noProof/>
        </w:rPr>
      </w:r>
      <w:r>
        <w:rPr>
          <w:noProof/>
        </w:rPr>
        <w:fldChar w:fldCharType="separate"/>
      </w:r>
      <w:r>
        <w:rPr>
          <w:noProof/>
        </w:rPr>
        <w:t>42</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A Lack Of Primary Care Access And Physicians</w:t>
      </w:r>
      <w:r>
        <w:rPr>
          <w:noProof/>
        </w:rPr>
        <w:tab/>
      </w:r>
      <w:r>
        <w:rPr>
          <w:noProof/>
        </w:rPr>
        <w:fldChar w:fldCharType="begin"/>
      </w:r>
      <w:r>
        <w:rPr>
          <w:noProof/>
        </w:rPr>
        <w:instrText xml:space="preserve"> PAGEREF _Toc229126508 \h </w:instrText>
      </w:r>
      <w:r>
        <w:rPr>
          <w:noProof/>
        </w:rPr>
      </w:r>
      <w:r>
        <w:rPr>
          <w:noProof/>
        </w:rPr>
        <w:fldChar w:fldCharType="separate"/>
      </w:r>
      <w:r>
        <w:rPr>
          <w:noProof/>
        </w:rPr>
        <w:t>42</w:t>
      </w:r>
      <w:r>
        <w:rPr>
          <w:noProof/>
        </w:rPr>
        <w:fldChar w:fldCharType="end"/>
      </w:r>
    </w:p>
    <w:p w:rsidR="00D2730B" w:rsidRPr="00B87BAB" w:rsidRDefault="00D2730B">
      <w:pPr>
        <w:pStyle w:val="TOC2"/>
        <w:rPr>
          <w:rFonts w:eastAsia="MS Mincho"/>
          <w:noProof/>
          <w:sz w:val="24"/>
          <w:szCs w:val="24"/>
          <w:lang w:eastAsia="ja-JP"/>
        </w:rPr>
      </w:pPr>
      <w:r w:rsidRPr="0021012C">
        <w:rPr>
          <w:noProof/>
        </w:rPr>
        <w:t>Addressing Community Needs And Implementation Plan</w:t>
      </w:r>
      <w:r>
        <w:rPr>
          <w:noProof/>
        </w:rPr>
        <w:tab/>
      </w:r>
      <w:r>
        <w:rPr>
          <w:noProof/>
        </w:rPr>
        <w:fldChar w:fldCharType="begin"/>
      </w:r>
      <w:r>
        <w:rPr>
          <w:noProof/>
        </w:rPr>
        <w:instrText xml:space="preserve"> PAGEREF _Toc229126509 \h </w:instrText>
      </w:r>
      <w:r>
        <w:rPr>
          <w:noProof/>
        </w:rPr>
      </w:r>
      <w:r>
        <w:rPr>
          <w:noProof/>
        </w:rPr>
        <w:fldChar w:fldCharType="separate"/>
      </w:r>
      <w:r>
        <w:rPr>
          <w:noProof/>
        </w:rPr>
        <w:t>43</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Addressing Adult Obesity</w:t>
      </w:r>
      <w:r>
        <w:rPr>
          <w:noProof/>
        </w:rPr>
        <w:tab/>
      </w:r>
      <w:r>
        <w:rPr>
          <w:noProof/>
        </w:rPr>
        <w:fldChar w:fldCharType="begin"/>
      </w:r>
      <w:r>
        <w:rPr>
          <w:noProof/>
        </w:rPr>
        <w:instrText xml:space="preserve"> PAGEREF _Toc229126510 \h </w:instrText>
      </w:r>
      <w:r>
        <w:rPr>
          <w:noProof/>
        </w:rPr>
      </w:r>
      <w:r>
        <w:rPr>
          <w:noProof/>
        </w:rPr>
        <w:fldChar w:fldCharType="separate"/>
      </w:r>
      <w:r>
        <w:rPr>
          <w:noProof/>
        </w:rPr>
        <w:t>43</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Addressing Adult Smoking</w:t>
      </w:r>
      <w:r>
        <w:rPr>
          <w:noProof/>
        </w:rPr>
        <w:tab/>
      </w:r>
      <w:r>
        <w:rPr>
          <w:noProof/>
        </w:rPr>
        <w:fldChar w:fldCharType="begin"/>
      </w:r>
      <w:r>
        <w:rPr>
          <w:noProof/>
        </w:rPr>
        <w:instrText xml:space="preserve"> PAGEREF _Toc229126511 \h </w:instrText>
      </w:r>
      <w:r>
        <w:rPr>
          <w:noProof/>
        </w:rPr>
      </w:r>
      <w:r>
        <w:rPr>
          <w:noProof/>
        </w:rPr>
        <w:fldChar w:fldCharType="separate"/>
      </w:r>
      <w:r>
        <w:rPr>
          <w:noProof/>
        </w:rPr>
        <w:t>43</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Increasing Access To Mental Health Providers And Services</w:t>
      </w:r>
      <w:r>
        <w:rPr>
          <w:noProof/>
        </w:rPr>
        <w:tab/>
      </w:r>
      <w:r>
        <w:rPr>
          <w:noProof/>
        </w:rPr>
        <w:fldChar w:fldCharType="begin"/>
      </w:r>
      <w:r>
        <w:rPr>
          <w:noProof/>
        </w:rPr>
        <w:instrText xml:space="preserve"> PAGEREF _Toc229126512 \h </w:instrText>
      </w:r>
      <w:r>
        <w:rPr>
          <w:noProof/>
        </w:rPr>
      </w:r>
      <w:r>
        <w:rPr>
          <w:noProof/>
        </w:rPr>
        <w:fldChar w:fldCharType="separate"/>
      </w:r>
      <w:r>
        <w:rPr>
          <w:noProof/>
        </w:rPr>
        <w:t>43</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Helping Children In Poverty</w:t>
      </w:r>
      <w:r>
        <w:rPr>
          <w:noProof/>
        </w:rPr>
        <w:tab/>
      </w:r>
      <w:r>
        <w:rPr>
          <w:noProof/>
        </w:rPr>
        <w:fldChar w:fldCharType="begin"/>
      </w:r>
      <w:r>
        <w:rPr>
          <w:noProof/>
        </w:rPr>
        <w:instrText xml:space="preserve"> PAGEREF _Toc229126513 \h </w:instrText>
      </w:r>
      <w:r>
        <w:rPr>
          <w:noProof/>
        </w:rPr>
      </w:r>
      <w:r>
        <w:rPr>
          <w:noProof/>
        </w:rPr>
        <w:fldChar w:fldCharType="separate"/>
      </w:r>
      <w:r>
        <w:rPr>
          <w:noProof/>
        </w:rPr>
        <w:t>43</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A Lack Of Primary Care Access And Physicians</w:t>
      </w:r>
      <w:r>
        <w:rPr>
          <w:noProof/>
        </w:rPr>
        <w:tab/>
      </w:r>
      <w:r>
        <w:rPr>
          <w:noProof/>
        </w:rPr>
        <w:fldChar w:fldCharType="begin"/>
      </w:r>
      <w:r>
        <w:rPr>
          <w:noProof/>
        </w:rPr>
        <w:instrText xml:space="preserve"> PAGEREF _Toc229126514 \h </w:instrText>
      </w:r>
      <w:r>
        <w:rPr>
          <w:noProof/>
        </w:rPr>
      </w:r>
      <w:r>
        <w:rPr>
          <w:noProof/>
        </w:rPr>
        <w:fldChar w:fldCharType="separate"/>
      </w:r>
      <w:r>
        <w:rPr>
          <w:noProof/>
        </w:rPr>
        <w:t>44</w:t>
      </w:r>
      <w:r>
        <w:rPr>
          <w:noProof/>
        </w:rPr>
        <w:fldChar w:fldCharType="end"/>
      </w:r>
    </w:p>
    <w:p w:rsidR="00D2730B" w:rsidRPr="00B87BAB" w:rsidRDefault="00D2730B">
      <w:pPr>
        <w:pStyle w:val="TOC3"/>
        <w:tabs>
          <w:tab w:val="right" w:leader="dot" w:pos="9350"/>
        </w:tabs>
        <w:rPr>
          <w:rFonts w:eastAsia="MS Mincho"/>
          <w:noProof/>
          <w:sz w:val="24"/>
          <w:szCs w:val="24"/>
          <w:lang w:eastAsia="ja-JP"/>
        </w:rPr>
      </w:pPr>
      <w:r w:rsidRPr="0021012C">
        <w:rPr>
          <w:noProof/>
        </w:rPr>
        <w:t>Medication Education</w:t>
      </w:r>
      <w:r>
        <w:rPr>
          <w:noProof/>
        </w:rPr>
        <w:tab/>
      </w:r>
      <w:r>
        <w:rPr>
          <w:noProof/>
        </w:rPr>
        <w:fldChar w:fldCharType="begin"/>
      </w:r>
      <w:r>
        <w:rPr>
          <w:noProof/>
        </w:rPr>
        <w:instrText xml:space="preserve"> PAGEREF _Toc229126515 \h </w:instrText>
      </w:r>
      <w:r>
        <w:rPr>
          <w:noProof/>
        </w:rPr>
      </w:r>
      <w:r>
        <w:rPr>
          <w:noProof/>
        </w:rPr>
        <w:fldChar w:fldCharType="separate"/>
      </w:r>
      <w:r>
        <w:rPr>
          <w:noProof/>
        </w:rPr>
        <w:t>44</w:t>
      </w:r>
      <w:r>
        <w:rPr>
          <w:noProof/>
        </w:rPr>
        <w:fldChar w:fldCharType="end"/>
      </w:r>
    </w:p>
    <w:p w:rsidR="00D2730B" w:rsidRPr="00B87BAB" w:rsidRDefault="00D2730B">
      <w:pPr>
        <w:pStyle w:val="TOC1"/>
        <w:tabs>
          <w:tab w:val="right" w:leader="dot" w:pos="9350"/>
        </w:tabs>
        <w:rPr>
          <w:rFonts w:eastAsia="MS Mincho"/>
          <w:noProof/>
          <w:sz w:val="24"/>
          <w:szCs w:val="24"/>
          <w:lang w:eastAsia="ja-JP"/>
        </w:rPr>
      </w:pPr>
      <w:r w:rsidRPr="0021012C">
        <w:rPr>
          <w:noProof/>
        </w:rPr>
        <w:t>VI. Conclusion</w:t>
      </w:r>
      <w:r>
        <w:rPr>
          <w:noProof/>
        </w:rPr>
        <w:tab/>
      </w:r>
      <w:r>
        <w:rPr>
          <w:noProof/>
        </w:rPr>
        <w:fldChar w:fldCharType="begin"/>
      </w:r>
      <w:r>
        <w:rPr>
          <w:noProof/>
        </w:rPr>
        <w:instrText xml:space="preserve"> PAGEREF _Toc229126516 \h </w:instrText>
      </w:r>
      <w:r>
        <w:rPr>
          <w:noProof/>
        </w:rPr>
      </w:r>
      <w:r>
        <w:rPr>
          <w:noProof/>
        </w:rPr>
        <w:fldChar w:fldCharType="separate"/>
      </w:r>
      <w:r>
        <w:rPr>
          <w:noProof/>
        </w:rPr>
        <w:t>45</w:t>
      </w:r>
      <w:r>
        <w:rPr>
          <w:noProof/>
        </w:rPr>
        <w:fldChar w:fldCharType="end"/>
      </w:r>
    </w:p>
    <w:p w:rsidR="00D2730B" w:rsidRPr="00B87BAB" w:rsidRDefault="00D2730B">
      <w:pPr>
        <w:pStyle w:val="TOC1"/>
        <w:tabs>
          <w:tab w:val="right" w:leader="dot" w:pos="9350"/>
        </w:tabs>
        <w:rPr>
          <w:rFonts w:eastAsia="MS Mincho"/>
          <w:noProof/>
          <w:sz w:val="24"/>
          <w:szCs w:val="24"/>
          <w:lang w:eastAsia="ja-JP"/>
        </w:rPr>
      </w:pPr>
      <w:r w:rsidRPr="0021012C">
        <w:rPr>
          <w:noProof/>
        </w:rPr>
        <w:t>VII. References</w:t>
      </w:r>
      <w:r>
        <w:rPr>
          <w:noProof/>
        </w:rPr>
        <w:tab/>
      </w:r>
      <w:r>
        <w:rPr>
          <w:noProof/>
        </w:rPr>
        <w:fldChar w:fldCharType="begin"/>
      </w:r>
      <w:r>
        <w:rPr>
          <w:noProof/>
        </w:rPr>
        <w:instrText xml:space="preserve"> PAGEREF _Toc229126517 \h </w:instrText>
      </w:r>
      <w:r>
        <w:rPr>
          <w:noProof/>
        </w:rPr>
      </w:r>
      <w:r>
        <w:rPr>
          <w:noProof/>
        </w:rPr>
        <w:fldChar w:fldCharType="separate"/>
      </w:r>
      <w:r>
        <w:rPr>
          <w:noProof/>
        </w:rPr>
        <w:t>47</w:t>
      </w:r>
      <w:r>
        <w:rPr>
          <w:noProof/>
        </w:rPr>
        <w:fldChar w:fldCharType="end"/>
      </w:r>
    </w:p>
    <w:p w:rsidR="002B1BA3" w:rsidRPr="00B063D7" w:rsidRDefault="00073446" w:rsidP="002B1BA3">
      <w:pPr>
        <w:pStyle w:val="TOC1"/>
        <w:tabs>
          <w:tab w:val="right" w:leader="dot" w:pos="9350"/>
        </w:tabs>
        <w:rPr>
          <w:rFonts w:ascii="Calibri" w:hAnsi="Calibri"/>
          <w:noProof/>
        </w:rPr>
      </w:pPr>
      <w:r w:rsidRPr="00CD2059">
        <w:rPr>
          <w:b/>
          <w:bCs/>
          <w:noProof/>
        </w:rPr>
        <w:fldChar w:fldCharType="end"/>
      </w:r>
    </w:p>
    <w:p w:rsidR="00073446" w:rsidRDefault="00073446"/>
    <w:p w:rsidR="00BF5653" w:rsidRPr="00074652" w:rsidRDefault="00BF5653"/>
    <w:p w:rsidR="00BF5653" w:rsidRDefault="00BF5653"/>
    <w:p w:rsidR="00302058" w:rsidRDefault="00302058"/>
    <w:p w:rsidR="00302058" w:rsidRDefault="00302058"/>
    <w:p w:rsidR="00302058" w:rsidRDefault="00302058"/>
    <w:p w:rsidR="00302058" w:rsidRDefault="00302058"/>
    <w:p w:rsidR="00302058" w:rsidRDefault="00302058"/>
    <w:p w:rsidR="00302058" w:rsidRDefault="00302058"/>
    <w:p w:rsidR="00302058" w:rsidRDefault="00302058"/>
    <w:p w:rsidR="00302058" w:rsidRDefault="00302058"/>
    <w:p w:rsidR="00302058" w:rsidRDefault="00302058"/>
    <w:p w:rsidR="00302058" w:rsidRDefault="00302058"/>
    <w:p w:rsidR="00302058" w:rsidRDefault="00302058"/>
    <w:p w:rsidR="00302058" w:rsidRDefault="00302058"/>
    <w:p w:rsidR="00302058" w:rsidRDefault="00302058"/>
    <w:p w:rsidR="00302058" w:rsidRDefault="00302058"/>
    <w:p w:rsidR="00302058" w:rsidRPr="00074652" w:rsidRDefault="00302058"/>
    <w:p w:rsidR="00BF5653" w:rsidRPr="00074652" w:rsidRDefault="00BF5653" w:rsidP="00A12064">
      <w:pPr>
        <w:pStyle w:val="Heading1"/>
        <w:spacing w:after="0"/>
        <w:rPr>
          <w:color w:val="auto"/>
        </w:rPr>
      </w:pPr>
      <w:bookmarkStart w:id="7" w:name="_Toc292981188"/>
      <w:bookmarkStart w:id="8" w:name="_Toc318638249"/>
      <w:bookmarkStart w:id="9" w:name="_Toc229126440"/>
      <w:r w:rsidRPr="00074652">
        <w:rPr>
          <w:color w:val="auto"/>
        </w:rPr>
        <w:t>Executive Summary</w:t>
      </w:r>
      <w:bookmarkEnd w:id="7"/>
      <w:bookmarkEnd w:id="8"/>
      <w:bookmarkEnd w:id="9"/>
    </w:p>
    <w:p w:rsidR="00A12064" w:rsidRDefault="00A12064" w:rsidP="00A12064">
      <w:pPr>
        <w:spacing w:after="0"/>
        <w:rPr>
          <w:szCs w:val="24"/>
        </w:rPr>
      </w:pPr>
    </w:p>
    <w:p w:rsidR="00A12064" w:rsidRPr="00074652" w:rsidRDefault="00A12064" w:rsidP="00A12064">
      <w:pPr>
        <w:spacing w:after="0"/>
        <w:rPr>
          <w:szCs w:val="24"/>
        </w:rPr>
      </w:pPr>
      <w:r w:rsidRPr="00074652">
        <w:rPr>
          <w:szCs w:val="24"/>
        </w:rPr>
        <w:t>The purpose of the community health needs assessment is twofold.  First, the primary aim is to improve t</w:t>
      </w:r>
      <w:r w:rsidR="00C02759">
        <w:rPr>
          <w:szCs w:val="24"/>
        </w:rPr>
        <w:t>he overall health of Lin</w:t>
      </w:r>
      <w:r>
        <w:rPr>
          <w:szCs w:val="24"/>
        </w:rPr>
        <w:t>n</w:t>
      </w:r>
      <w:r w:rsidRPr="00074652">
        <w:rPr>
          <w:szCs w:val="24"/>
        </w:rPr>
        <w:t xml:space="preserve"> County through identifying any areas of need.  Second, is to satisfy both state and federal requirements by </w:t>
      </w:r>
      <w:r>
        <w:rPr>
          <w:szCs w:val="24"/>
        </w:rPr>
        <w:t>engaging key stakeholders in</w:t>
      </w:r>
      <w:r w:rsidRPr="00074652">
        <w:rPr>
          <w:szCs w:val="24"/>
        </w:rPr>
        <w:t xml:space="preserve"> the county for </w:t>
      </w:r>
      <w:r>
        <w:rPr>
          <w:szCs w:val="24"/>
        </w:rPr>
        <w:t>their input on health vulnerabilities</w:t>
      </w:r>
      <w:r w:rsidRPr="00074652">
        <w:rPr>
          <w:szCs w:val="24"/>
        </w:rPr>
        <w:t>.  To</w:t>
      </w:r>
      <w:r>
        <w:rPr>
          <w:szCs w:val="24"/>
        </w:rPr>
        <w:t xml:space="preserve"> asse</w:t>
      </w:r>
      <w:r w:rsidR="00C02759">
        <w:rPr>
          <w:szCs w:val="24"/>
        </w:rPr>
        <w:t>ss the needs of Lin</w:t>
      </w:r>
      <w:r>
        <w:rPr>
          <w:szCs w:val="24"/>
        </w:rPr>
        <w:t>n County this assessment uses</w:t>
      </w:r>
      <w:r w:rsidRPr="00074652">
        <w:rPr>
          <w:szCs w:val="24"/>
        </w:rPr>
        <w:t xml:space="preserve"> a number of secondary resources including</w:t>
      </w:r>
      <w:r w:rsidR="00C51E0B">
        <w:rPr>
          <w:color w:val="FF0000"/>
          <w:szCs w:val="24"/>
        </w:rPr>
        <w:t>;</w:t>
      </w:r>
      <w:r w:rsidRPr="00074652">
        <w:rPr>
          <w:szCs w:val="24"/>
        </w:rPr>
        <w:t xml:space="preserve"> the U.S. Census Bureau, </w:t>
      </w:r>
      <w:r w:rsidRPr="00074652">
        <w:rPr>
          <w:i/>
          <w:szCs w:val="24"/>
        </w:rPr>
        <w:t>County Health Rankings,</w:t>
      </w:r>
      <w:r w:rsidRPr="00074652">
        <w:rPr>
          <w:szCs w:val="24"/>
        </w:rPr>
        <w:t xml:space="preserve"> </w:t>
      </w:r>
      <w:r>
        <w:rPr>
          <w:szCs w:val="24"/>
        </w:rPr>
        <w:t>Missouri Department of Health and Senior Services, and the Missouri Hospital Association.</w:t>
      </w:r>
      <w:r w:rsidRPr="00074652">
        <w:rPr>
          <w:szCs w:val="24"/>
        </w:rPr>
        <w:t xml:space="preserve">  Along with the secondary data analysis, </w:t>
      </w:r>
      <w:r>
        <w:rPr>
          <w:szCs w:val="24"/>
        </w:rPr>
        <w:t xml:space="preserve">input was gathered from </w:t>
      </w:r>
      <w:r w:rsidRPr="00074652">
        <w:rPr>
          <w:szCs w:val="24"/>
        </w:rPr>
        <w:t>healthcare service providers and importan</w:t>
      </w:r>
      <w:r>
        <w:rPr>
          <w:szCs w:val="24"/>
        </w:rPr>
        <w:t xml:space="preserve">t stakeholders in the community. </w:t>
      </w:r>
    </w:p>
    <w:p w:rsidR="00A12064" w:rsidRPr="00074652" w:rsidRDefault="00A12064" w:rsidP="00A12064">
      <w:pPr>
        <w:spacing w:after="0"/>
        <w:rPr>
          <w:szCs w:val="24"/>
        </w:rPr>
      </w:pPr>
    </w:p>
    <w:p w:rsidR="00A12064" w:rsidRPr="00074652" w:rsidRDefault="00A12064" w:rsidP="00A12064">
      <w:pPr>
        <w:spacing w:after="0"/>
        <w:rPr>
          <w:szCs w:val="24"/>
        </w:rPr>
      </w:pPr>
      <w:r w:rsidRPr="00074652">
        <w:rPr>
          <w:szCs w:val="24"/>
        </w:rPr>
        <w:t>Secondary data analysis provided a picture of social demographics, economics, and contributing health factors for L</w:t>
      </w:r>
      <w:r w:rsidR="00C02759">
        <w:rPr>
          <w:szCs w:val="24"/>
        </w:rPr>
        <w:t>in</w:t>
      </w:r>
      <w:r>
        <w:rPr>
          <w:szCs w:val="24"/>
        </w:rPr>
        <w:t>n</w:t>
      </w:r>
      <w:r w:rsidRPr="00074652">
        <w:rPr>
          <w:szCs w:val="24"/>
        </w:rPr>
        <w:t xml:space="preserve"> County.  </w:t>
      </w:r>
      <w:r w:rsidRPr="00302058">
        <w:rPr>
          <w:szCs w:val="24"/>
        </w:rPr>
        <w:t xml:space="preserve">According to the </w:t>
      </w:r>
      <w:r>
        <w:rPr>
          <w:szCs w:val="24"/>
        </w:rPr>
        <w:t xml:space="preserve">most recent </w:t>
      </w:r>
      <w:r w:rsidRPr="00302058">
        <w:rPr>
          <w:szCs w:val="24"/>
        </w:rPr>
        <w:t>U.S. Census Bureau</w:t>
      </w:r>
      <w:r>
        <w:rPr>
          <w:szCs w:val="24"/>
        </w:rPr>
        <w:t xml:space="preserve"> data</w:t>
      </w:r>
      <w:r w:rsidR="00C02759">
        <w:rPr>
          <w:szCs w:val="24"/>
        </w:rPr>
        <w:t>, Lin</w:t>
      </w:r>
      <w:r w:rsidRPr="00302058">
        <w:rPr>
          <w:szCs w:val="24"/>
        </w:rPr>
        <w:t xml:space="preserve">n County has a </w:t>
      </w:r>
      <w:r w:rsidR="00C02759">
        <w:rPr>
          <w:szCs w:val="24"/>
        </w:rPr>
        <w:t>total estimated population of 12,760 in 2010</w:t>
      </w:r>
      <w:r w:rsidRPr="00302058">
        <w:rPr>
          <w:szCs w:val="24"/>
        </w:rPr>
        <w:t>.</w:t>
      </w:r>
      <w:r w:rsidR="00C02759">
        <w:rPr>
          <w:szCs w:val="24"/>
        </w:rPr>
        <w:t xml:space="preserve">   This is a 7.8 percent </w:t>
      </w:r>
      <w:r w:rsidR="00C02759" w:rsidRPr="0052615A">
        <w:rPr>
          <w:szCs w:val="24"/>
        </w:rPr>
        <w:t>de</w:t>
      </w:r>
      <w:r w:rsidR="00C51E0B" w:rsidRPr="0052615A">
        <w:rPr>
          <w:szCs w:val="24"/>
        </w:rPr>
        <w:t>c</w:t>
      </w:r>
      <w:r w:rsidR="00C02759" w:rsidRPr="0052615A">
        <w:rPr>
          <w:szCs w:val="24"/>
        </w:rPr>
        <w:t>rease</w:t>
      </w:r>
      <w:r w:rsidRPr="0052615A">
        <w:rPr>
          <w:szCs w:val="24"/>
        </w:rPr>
        <w:t xml:space="preserve"> </w:t>
      </w:r>
      <w:r w:rsidRPr="00074652">
        <w:rPr>
          <w:szCs w:val="24"/>
        </w:rPr>
        <w:t xml:space="preserve">from 2000.  </w:t>
      </w:r>
      <w:r>
        <w:rPr>
          <w:szCs w:val="24"/>
        </w:rPr>
        <w:t>Roughly 40 percent of the population falls between the ages of</w:t>
      </w:r>
      <w:r w:rsidRPr="00074652">
        <w:rPr>
          <w:szCs w:val="24"/>
        </w:rPr>
        <w:t xml:space="preserve"> </w:t>
      </w:r>
      <w:r w:rsidR="00C02759">
        <w:rPr>
          <w:szCs w:val="24"/>
        </w:rPr>
        <w:t>35-64, which</w:t>
      </w:r>
      <w:r>
        <w:rPr>
          <w:szCs w:val="24"/>
        </w:rPr>
        <w:t xml:space="preserve"> also represents the largest group of healthcare consumers</w:t>
      </w:r>
      <w:r w:rsidRPr="00074652">
        <w:rPr>
          <w:szCs w:val="24"/>
        </w:rPr>
        <w:t xml:space="preserve">.  Future changes in </w:t>
      </w:r>
      <w:r>
        <w:rPr>
          <w:szCs w:val="24"/>
        </w:rPr>
        <w:t xml:space="preserve">the </w:t>
      </w:r>
      <w:r w:rsidRPr="00074652">
        <w:rPr>
          <w:szCs w:val="24"/>
        </w:rPr>
        <w:t xml:space="preserve">population mix will present </w:t>
      </w:r>
      <w:r>
        <w:rPr>
          <w:szCs w:val="24"/>
        </w:rPr>
        <w:t xml:space="preserve">unique </w:t>
      </w:r>
      <w:r w:rsidRPr="00074652">
        <w:rPr>
          <w:szCs w:val="24"/>
        </w:rPr>
        <w:t>challenges</w:t>
      </w:r>
      <w:r>
        <w:rPr>
          <w:szCs w:val="24"/>
        </w:rPr>
        <w:t xml:space="preserve"> for Li</w:t>
      </w:r>
      <w:r w:rsidR="00C02759">
        <w:rPr>
          <w:szCs w:val="24"/>
        </w:rPr>
        <w:t>n</w:t>
      </w:r>
      <w:r>
        <w:rPr>
          <w:szCs w:val="24"/>
        </w:rPr>
        <w:t>n County</w:t>
      </w:r>
      <w:r w:rsidRPr="00074652">
        <w:rPr>
          <w:szCs w:val="24"/>
        </w:rPr>
        <w:t xml:space="preserve">.  </w:t>
      </w:r>
    </w:p>
    <w:p w:rsidR="00A12064" w:rsidRPr="00074652" w:rsidRDefault="00A12064" w:rsidP="00A12064">
      <w:pPr>
        <w:spacing w:after="0"/>
        <w:rPr>
          <w:szCs w:val="24"/>
        </w:rPr>
      </w:pPr>
    </w:p>
    <w:p w:rsidR="00A12064" w:rsidRPr="00A71294" w:rsidRDefault="00A12064" w:rsidP="00A12064">
      <w:pPr>
        <w:spacing w:after="0" w:line="21" w:lineRule="atLeast"/>
      </w:pPr>
      <w:r w:rsidRPr="00074652">
        <w:rPr>
          <w:szCs w:val="24"/>
        </w:rPr>
        <w:t xml:space="preserve">Economic factors of a community often correlate with access to healthcare.  </w:t>
      </w:r>
      <w:r w:rsidRPr="00074652">
        <w:t>In terms of economic status, L</w:t>
      </w:r>
      <w:r>
        <w:t>i</w:t>
      </w:r>
      <w:r w:rsidR="00C02759">
        <w:t>n</w:t>
      </w:r>
      <w:r>
        <w:t>n</w:t>
      </w:r>
      <w:r w:rsidRPr="00074652">
        <w:t xml:space="preserve"> County is </w:t>
      </w:r>
      <w:r w:rsidR="00C02759">
        <w:t>stable</w:t>
      </w:r>
      <w:r w:rsidRPr="00074652">
        <w:t xml:space="preserve"> in relation to the rest of </w:t>
      </w:r>
      <w:r>
        <w:t>Missouri</w:t>
      </w:r>
      <w:r w:rsidRPr="00074652">
        <w:t xml:space="preserve"> and the United States</w:t>
      </w:r>
      <w:r>
        <w:t>, but it does have a higher percentage of families below the poverty level</w:t>
      </w:r>
      <w:r w:rsidRPr="00074652">
        <w:t xml:space="preserve">.  Analyzing the various classes of workers gives an idea as to the availability of health insurance to the labor force.  </w:t>
      </w:r>
      <w:r w:rsidR="00C02759" w:rsidRPr="00074652">
        <w:t>Figure 4.2 shows that L</w:t>
      </w:r>
      <w:r w:rsidR="00C02759">
        <w:t xml:space="preserve">inn County has about the same level </w:t>
      </w:r>
      <w:r w:rsidR="0052615A">
        <w:t xml:space="preserve">of </w:t>
      </w:r>
      <w:r w:rsidR="00C02759">
        <w:t xml:space="preserve">government employees </w:t>
      </w:r>
      <w:r w:rsidR="0052615A">
        <w:t xml:space="preserve">as the state of Missouri </w:t>
      </w:r>
      <w:r w:rsidR="00C02759">
        <w:t>an</w:t>
      </w:r>
      <w:r w:rsidR="0052615A">
        <w:t xml:space="preserve">d less than the national average. </w:t>
      </w:r>
      <w:r w:rsidR="0052615A" w:rsidRPr="0052615A">
        <w:t>T</w:t>
      </w:r>
      <w:r w:rsidR="00C02759">
        <w:t>he county also has a higher</w:t>
      </w:r>
      <w:r w:rsidR="00C02759" w:rsidRPr="00074652">
        <w:t xml:space="preserve"> level </w:t>
      </w:r>
      <w:r w:rsidR="00C02759">
        <w:t xml:space="preserve">of individuals who are self-employed </w:t>
      </w:r>
      <w:r w:rsidR="00C02759" w:rsidRPr="00074652">
        <w:t xml:space="preserve">and conversely, has a </w:t>
      </w:r>
      <w:r w:rsidR="00C02759">
        <w:t xml:space="preserve">slightly </w:t>
      </w:r>
      <w:r w:rsidR="00C02759" w:rsidRPr="00074652">
        <w:t>lower portion of private wage workers.</w:t>
      </w:r>
    </w:p>
    <w:p w:rsidR="00A12064" w:rsidRPr="00074652" w:rsidRDefault="00A12064" w:rsidP="00A12064">
      <w:pPr>
        <w:spacing w:after="0"/>
        <w:rPr>
          <w:szCs w:val="24"/>
        </w:rPr>
      </w:pPr>
    </w:p>
    <w:p w:rsidR="00A12064" w:rsidRPr="00074652" w:rsidRDefault="00491D59" w:rsidP="00A12064">
      <w:pPr>
        <w:spacing w:after="0"/>
        <w:rPr>
          <w:szCs w:val="24"/>
        </w:rPr>
      </w:pPr>
      <w:r w:rsidRPr="00491D59">
        <w:rPr>
          <w:szCs w:val="24"/>
        </w:rPr>
        <w:t>Lin</w:t>
      </w:r>
      <w:r w:rsidR="00A12064" w:rsidRPr="00491D59">
        <w:rPr>
          <w:szCs w:val="24"/>
        </w:rPr>
        <w:t>n</w:t>
      </w:r>
      <w:r w:rsidR="00A12064">
        <w:rPr>
          <w:szCs w:val="24"/>
        </w:rPr>
        <w:t xml:space="preserve"> County </w:t>
      </w:r>
      <w:r w:rsidR="00A12064" w:rsidRPr="00A71294">
        <w:rPr>
          <w:szCs w:val="24"/>
        </w:rPr>
        <w:t xml:space="preserve">ranked </w:t>
      </w:r>
      <w:r w:rsidR="00C02759">
        <w:rPr>
          <w:szCs w:val="24"/>
        </w:rPr>
        <w:t>42</w:t>
      </w:r>
      <w:r w:rsidR="00C02759">
        <w:rPr>
          <w:szCs w:val="24"/>
          <w:vertAlign w:val="superscript"/>
        </w:rPr>
        <w:t>nd</w:t>
      </w:r>
      <w:r w:rsidR="00A12064" w:rsidRPr="00A71294">
        <w:rPr>
          <w:szCs w:val="24"/>
        </w:rPr>
        <w:t xml:space="preserve"> </w:t>
      </w:r>
      <w:r w:rsidR="00A12064">
        <w:rPr>
          <w:szCs w:val="24"/>
        </w:rPr>
        <w:t xml:space="preserve">out of 115 counties </w:t>
      </w:r>
      <w:r w:rsidR="00A12064" w:rsidRPr="00A71294">
        <w:rPr>
          <w:szCs w:val="24"/>
        </w:rPr>
        <w:t>in overall health outcomes</w:t>
      </w:r>
      <w:r w:rsidR="00C51E0B" w:rsidRPr="0052615A">
        <w:rPr>
          <w:szCs w:val="24"/>
        </w:rPr>
        <w:t>. A</w:t>
      </w:r>
      <w:r w:rsidR="00A12064" w:rsidRPr="00D7081F">
        <w:rPr>
          <w:szCs w:val="24"/>
        </w:rPr>
        <w:t>nalysis of secondary data reveals several neg</w:t>
      </w:r>
      <w:r w:rsidR="00A12064">
        <w:rPr>
          <w:szCs w:val="24"/>
        </w:rPr>
        <w:t>ative trending health factors</w:t>
      </w:r>
      <w:r w:rsidR="00A12064" w:rsidRPr="00D7081F">
        <w:rPr>
          <w:szCs w:val="24"/>
        </w:rPr>
        <w:t>.  L</w:t>
      </w:r>
      <w:r w:rsidR="00C02759">
        <w:rPr>
          <w:szCs w:val="24"/>
        </w:rPr>
        <w:t>in</w:t>
      </w:r>
      <w:r w:rsidR="00A12064">
        <w:rPr>
          <w:szCs w:val="24"/>
        </w:rPr>
        <w:t xml:space="preserve">n County experiences higher than </w:t>
      </w:r>
      <w:r w:rsidR="00A12064" w:rsidRPr="00D7081F">
        <w:rPr>
          <w:szCs w:val="24"/>
        </w:rPr>
        <w:t xml:space="preserve">average </w:t>
      </w:r>
      <w:r w:rsidR="00A12064">
        <w:rPr>
          <w:szCs w:val="24"/>
        </w:rPr>
        <w:t>rates in smoking</w:t>
      </w:r>
      <w:r w:rsidR="00C02759">
        <w:rPr>
          <w:szCs w:val="24"/>
        </w:rPr>
        <w:t xml:space="preserve">, obesity, </w:t>
      </w:r>
      <w:r w:rsidR="00A12064">
        <w:rPr>
          <w:szCs w:val="24"/>
        </w:rPr>
        <w:t>heart disease</w:t>
      </w:r>
      <w:r w:rsidR="00C02759">
        <w:rPr>
          <w:szCs w:val="24"/>
        </w:rPr>
        <w:t xml:space="preserve">, and childhood poverty </w:t>
      </w:r>
      <w:r w:rsidR="00A12064">
        <w:t>compared to the state of Missouri</w:t>
      </w:r>
      <w:r w:rsidR="00A12064" w:rsidRPr="00D7081F">
        <w:rPr>
          <w:szCs w:val="24"/>
        </w:rPr>
        <w:t>.  These poor trends in healthcare factors ultimately lead to higher rates of premature death, a leading indicator of overall health in a community.</w:t>
      </w:r>
      <w:r w:rsidR="00A12064">
        <w:rPr>
          <w:szCs w:val="24"/>
        </w:rPr>
        <w:t xml:space="preserve"> </w:t>
      </w:r>
    </w:p>
    <w:p w:rsidR="00A12064" w:rsidRPr="00074652" w:rsidRDefault="00A12064" w:rsidP="00A12064">
      <w:pPr>
        <w:spacing w:after="0"/>
        <w:rPr>
          <w:szCs w:val="24"/>
        </w:rPr>
      </w:pPr>
    </w:p>
    <w:p w:rsidR="00A12064" w:rsidRPr="00074652" w:rsidRDefault="00A12064" w:rsidP="00A12064">
      <w:pPr>
        <w:spacing w:after="0"/>
        <w:rPr>
          <w:szCs w:val="24"/>
        </w:rPr>
      </w:pPr>
      <w:r w:rsidRPr="00A71294">
        <w:rPr>
          <w:szCs w:val="24"/>
        </w:rPr>
        <w:t>Discussions with local healthcare providers</w:t>
      </w:r>
      <w:r w:rsidRPr="00074652">
        <w:rPr>
          <w:szCs w:val="24"/>
        </w:rPr>
        <w:t xml:space="preserve"> indicated that L</w:t>
      </w:r>
      <w:r w:rsidR="00C02759">
        <w:rPr>
          <w:szCs w:val="24"/>
        </w:rPr>
        <w:t>in</w:t>
      </w:r>
      <w:r>
        <w:rPr>
          <w:szCs w:val="24"/>
        </w:rPr>
        <w:t>n</w:t>
      </w:r>
      <w:r w:rsidRPr="00074652">
        <w:rPr>
          <w:szCs w:val="24"/>
        </w:rPr>
        <w:t xml:space="preserve"> County lacks in specialist providers, </w:t>
      </w:r>
      <w:r>
        <w:rPr>
          <w:szCs w:val="24"/>
        </w:rPr>
        <w:t>primary care providers</w:t>
      </w:r>
      <w:r w:rsidRPr="00074652">
        <w:rPr>
          <w:szCs w:val="24"/>
        </w:rPr>
        <w:t xml:space="preserve">, and </w:t>
      </w:r>
      <w:r w:rsidR="00C02759">
        <w:rPr>
          <w:szCs w:val="24"/>
        </w:rPr>
        <w:t>preventative</w:t>
      </w:r>
      <w:r>
        <w:rPr>
          <w:szCs w:val="24"/>
        </w:rPr>
        <w:t xml:space="preserve"> services</w:t>
      </w:r>
      <w:r w:rsidRPr="00074652">
        <w:rPr>
          <w:szCs w:val="24"/>
        </w:rPr>
        <w:t xml:space="preserve">.  The lack of specialty providers is </w:t>
      </w:r>
      <w:r>
        <w:rPr>
          <w:szCs w:val="24"/>
        </w:rPr>
        <w:t xml:space="preserve">partially </w:t>
      </w:r>
      <w:r w:rsidRPr="00074652">
        <w:rPr>
          <w:szCs w:val="24"/>
        </w:rPr>
        <w:t xml:space="preserve">alleviated by the proximity to </w:t>
      </w:r>
      <w:r w:rsidRPr="00C51E0B">
        <w:rPr>
          <w:color w:val="000000"/>
          <w:szCs w:val="24"/>
        </w:rPr>
        <w:t>Kansas</w:t>
      </w:r>
      <w:r w:rsidRPr="00074652">
        <w:rPr>
          <w:szCs w:val="24"/>
        </w:rPr>
        <w:t xml:space="preserve"> City </w:t>
      </w:r>
      <w:r w:rsidR="00C02759">
        <w:rPr>
          <w:szCs w:val="24"/>
        </w:rPr>
        <w:t>and Columbia</w:t>
      </w:r>
      <w:r w:rsidR="00C51E0B">
        <w:rPr>
          <w:color w:val="FF0000"/>
          <w:szCs w:val="24"/>
        </w:rPr>
        <w:t>,</w:t>
      </w:r>
      <w:r w:rsidR="00C02759">
        <w:rPr>
          <w:szCs w:val="24"/>
        </w:rPr>
        <w:t xml:space="preserve"> </w:t>
      </w:r>
      <w:r w:rsidRPr="00074652">
        <w:rPr>
          <w:szCs w:val="24"/>
        </w:rPr>
        <w:t>but results in a portion of the population leaving the community for healthcare services.</w:t>
      </w:r>
      <w:r>
        <w:rPr>
          <w:szCs w:val="24"/>
        </w:rPr>
        <w:t xml:space="preserve"> </w:t>
      </w:r>
    </w:p>
    <w:p w:rsidR="00A12064" w:rsidRPr="00074652" w:rsidRDefault="00A12064" w:rsidP="00A12064">
      <w:pPr>
        <w:spacing w:after="0"/>
        <w:rPr>
          <w:szCs w:val="24"/>
        </w:rPr>
      </w:pPr>
    </w:p>
    <w:p w:rsidR="00A12064" w:rsidRDefault="00A12064" w:rsidP="00A12064">
      <w:pPr>
        <w:spacing w:after="0" w:line="21" w:lineRule="atLeast"/>
      </w:pPr>
      <w:r w:rsidRPr="00074652">
        <w:rPr>
          <w:szCs w:val="24"/>
        </w:rPr>
        <w:t xml:space="preserve">In conclusion, </w:t>
      </w:r>
      <w:r>
        <w:rPr>
          <w:szCs w:val="24"/>
        </w:rPr>
        <w:t>the</w:t>
      </w:r>
      <w:r w:rsidRPr="00074652">
        <w:rPr>
          <w:szCs w:val="24"/>
        </w:rPr>
        <w:t xml:space="preserve"> negative trends in healthcare factors </w:t>
      </w:r>
      <w:r>
        <w:rPr>
          <w:szCs w:val="24"/>
        </w:rPr>
        <w:t>will</w:t>
      </w:r>
      <w:r w:rsidRPr="00074652">
        <w:rPr>
          <w:szCs w:val="24"/>
        </w:rPr>
        <w:t xml:space="preserve"> inevitably have a harmful effect on the county’s health outcomes in the future. </w:t>
      </w:r>
      <w:r w:rsidRPr="00074652">
        <w:t>The information provided in this assess</w:t>
      </w:r>
      <w:r>
        <w:t>ment should be used as a tool for</w:t>
      </w:r>
      <w:r w:rsidRPr="00074652">
        <w:t xml:space="preserve"> </w:t>
      </w:r>
      <w:r w:rsidR="00C02759">
        <w:t>Pershing Memorial Hospital</w:t>
      </w:r>
      <w:r>
        <w:t xml:space="preserve"> and </w:t>
      </w:r>
      <w:r w:rsidRPr="00074652">
        <w:t>community stakeholders when deciding the next step in community health.  The health of L</w:t>
      </w:r>
      <w:r w:rsidR="005E094E">
        <w:t>inn</w:t>
      </w:r>
      <w:r w:rsidRPr="00074652">
        <w:t xml:space="preserve"> County is st</w:t>
      </w:r>
      <w:r w:rsidR="005E094E">
        <w:t>able</w:t>
      </w:r>
      <w:r w:rsidR="00C51E0B">
        <w:rPr>
          <w:color w:val="FF0000"/>
        </w:rPr>
        <w:t>,</w:t>
      </w:r>
      <w:r w:rsidRPr="00074652">
        <w:t xml:space="preserve"> but also should expect to confront challenges caused by negative trends in health factors and a changing population mix.  It will be important that the community address these challenges and make decisions based on community needs moving forward.</w:t>
      </w:r>
    </w:p>
    <w:p w:rsidR="00C05480" w:rsidRDefault="00C05480" w:rsidP="00A12064">
      <w:pPr>
        <w:spacing w:after="0"/>
        <w:rPr>
          <w:szCs w:val="24"/>
        </w:rPr>
      </w:pPr>
      <w:bookmarkStart w:id="10" w:name="_Toc292981190"/>
      <w:bookmarkStart w:id="11" w:name="_Toc318638251"/>
    </w:p>
    <w:p w:rsidR="00A1109F" w:rsidRDefault="00A1109F" w:rsidP="00A1109F">
      <w:pPr>
        <w:spacing w:after="0"/>
        <w:jc w:val="center"/>
        <w:rPr>
          <w:sz w:val="28"/>
          <w:szCs w:val="28"/>
        </w:rPr>
      </w:pPr>
    </w:p>
    <w:p w:rsidR="00A12064" w:rsidRDefault="00A12064" w:rsidP="00A1109F">
      <w:pPr>
        <w:spacing w:after="0"/>
        <w:jc w:val="center"/>
        <w:rPr>
          <w:sz w:val="28"/>
          <w:szCs w:val="28"/>
        </w:rPr>
      </w:pPr>
    </w:p>
    <w:p w:rsidR="00A1109F" w:rsidRPr="00A1109F" w:rsidRDefault="00A1109F" w:rsidP="00A1109F">
      <w:pPr>
        <w:pBdr>
          <w:bottom w:val="thickThinSmallGap" w:sz="12" w:space="1" w:color="743D3D"/>
        </w:pBdr>
        <w:spacing w:after="0"/>
        <w:jc w:val="center"/>
        <w:rPr>
          <w:sz w:val="28"/>
          <w:szCs w:val="28"/>
        </w:rPr>
      </w:pPr>
      <w:r>
        <w:rPr>
          <w:sz w:val="28"/>
          <w:szCs w:val="28"/>
        </w:rPr>
        <w:t>INTRODUCTION</w:t>
      </w:r>
    </w:p>
    <w:p w:rsidR="00A1120B" w:rsidRPr="00074652" w:rsidRDefault="00A1120B" w:rsidP="00A1120B">
      <w:pPr>
        <w:pStyle w:val="Heading2"/>
        <w:rPr>
          <w:color w:val="auto"/>
        </w:rPr>
      </w:pPr>
      <w:bookmarkStart w:id="12" w:name="_Toc229126441"/>
      <w:r w:rsidRPr="00074652">
        <w:rPr>
          <w:color w:val="auto"/>
        </w:rPr>
        <w:t>Background &amp; Purpose</w:t>
      </w:r>
      <w:bookmarkEnd w:id="10"/>
      <w:bookmarkEnd w:id="11"/>
      <w:bookmarkEnd w:id="12"/>
    </w:p>
    <w:p w:rsidR="00BF5653" w:rsidRPr="00074652" w:rsidRDefault="00BF5653" w:rsidP="00A1120B">
      <w:pPr>
        <w:tabs>
          <w:tab w:val="left" w:pos="7032"/>
        </w:tabs>
      </w:pPr>
    </w:p>
    <w:p w:rsidR="00E6223F" w:rsidRDefault="00E6223F" w:rsidP="00E6223F">
      <w:pPr>
        <w:spacing w:after="0"/>
        <w:rPr>
          <w:rFonts w:cs="Arial"/>
          <w:szCs w:val="24"/>
        </w:rPr>
      </w:pPr>
      <w:r>
        <w:rPr>
          <w:rFonts w:cs="Arial"/>
          <w:szCs w:val="24"/>
        </w:rPr>
        <w:t xml:space="preserve">The Community Health Needs Assessment (CHNA) is a unique document that will enable Pershing Health System and specifically Pershing Memorial Hospital (PMH) to better serve patients and the community. A student from the Health Management and Informatics Department at the University of Missouri-Columbia and Rockhurst University will conduct the assessment.  The CHNA will identify the different health needs and outcomes that occur in Linn County. Cory Hernandez prepared a preliminary template for this assessment for Saint Luke’s Health System on June 2012. The original document was restructured to take account of the new guidelines imposed by the Internal Revenue Service and the particular health needs of Linn County.   </w:t>
      </w:r>
    </w:p>
    <w:p w:rsidR="004F5917" w:rsidRPr="00074652" w:rsidRDefault="004F5917" w:rsidP="004F5917">
      <w:pPr>
        <w:spacing w:after="0"/>
        <w:rPr>
          <w:rFonts w:cs="Arial"/>
          <w:szCs w:val="24"/>
        </w:rPr>
      </w:pPr>
    </w:p>
    <w:p w:rsidR="004F5917" w:rsidRPr="00074652" w:rsidRDefault="004F5917" w:rsidP="004F5917">
      <w:pPr>
        <w:spacing w:after="0"/>
        <w:rPr>
          <w:rFonts w:cs="Arial"/>
          <w:szCs w:val="24"/>
        </w:rPr>
      </w:pPr>
      <w:r w:rsidRPr="00074652">
        <w:rPr>
          <w:rFonts w:cs="Arial"/>
          <w:szCs w:val="24"/>
        </w:rPr>
        <w:tab/>
      </w:r>
      <w:r>
        <w:rPr>
          <w:rFonts w:cs="Arial"/>
          <w:szCs w:val="24"/>
        </w:rPr>
        <w:t>The community health needs assessment will achieve four distinct goals</w:t>
      </w:r>
      <w:r w:rsidRPr="00074652">
        <w:rPr>
          <w:rFonts w:cs="Arial"/>
          <w:szCs w:val="24"/>
        </w:rPr>
        <w:t>:</w:t>
      </w:r>
    </w:p>
    <w:p w:rsidR="004F5917" w:rsidRPr="00074652" w:rsidRDefault="004F5917" w:rsidP="004F5917">
      <w:pPr>
        <w:spacing w:after="0"/>
        <w:rPr>
          <w:rFonts w:cs="Arial"/>
          <w:szCs w:val="24"/>
        </w:rPr>
      </w:pPr>
    </w:p>
    <w:p w:rsidR="004F5917" w:rsidRPr="008F7EA4" w:rsidRDefault="004F5917" w:rsidP="004F5917">
      <w:pPr>
        <w:numPr>
          <w:ilvl w:val="0"/>
          <w:numId w:val="4"/>
        </w:numPr>
        <w:spacing w:after="0"/>
        <w:rPr>
          <w:rFonts w:cs="Arial"/>
          <w:szCs w:val="24"/>
        </w:rPr>
      </w:pPr>
      <w:r>
        <w:rPr>
          <w:rFonts w:cs="Arial"/>
          <w:szCs w:val="24"/>
        </w:rPr>
        <w:t xml:space="preserve">Maintain adherence to the Patient Protection and Affordable Care Act assessment requirements; and also Internal Revenue Service </w:t>
      </w:r>
      <w:r>
        <w:t xml:space="preserve">Section 501(r) </w:t>
      </w:r>
      <w:r>
        <w:rPr>
          <w:rFonts w:cs="Arial"/>
          <w:szCs w:val="24"/>
        </w:rPr>
        <w:t xml:space="preserve">mandates. </w:t>
      </w:r>
    </w:p>
    <w:p w:rsidR="004F5917" w:rsidRPr="008F7EA4" w:rsidRDefault="004F5917" w:rsidP="004F5917">
      <w:pPr>
        <w:numPr>
          <w:ilvl w:val="0"/>
          <w:numId w:val="4"/>
        </w:numPr>
        <w:spacing w:after="0"/>
        <w:rPr>
          <w:rFonts w:cs="Arial"/>
          <w:szCs w:val="24"/>
        </w:rPr>
      </w:pPr>
      <w:r>
        <w:rPr>
          <w:rFonts w:cs="Arial"/>
          <w:szCs w:val="24"/>
        </w:rPr>
        <w:t>Identify vulnerab</w:t>
      </w:r>
      <w:r w:rsidR="00E6223F">
        <w:rPr>
          <w:rFonts w:cs="Arial"/>
          <w:szCs w:val="24"/>
        </w:rPr>
        <w:t>le populations within Linn</w:t>
      </w:r>
      <w:r>
        <w:rPr>
          <w:rFonts w:cs="Arial"/>
          <w:szCs w:val="24"/>
        </w:rPr>
        <w:t xml:space="preserve"> County and the most urgent health needs for those populations. </w:t>
      </w:r>
    </w:p>
    <w:p w:rsidR="004F5917" w:rsidRDefault="004F5917" w:rsidP="004F5917">
      <w:pPr>
        <w:numPr>
          <w:ilvl w:val="0"/>
          <w:numId w:val="4"/>
        </w:numPr>
        <w:spacing w:after="0"/>
        <w:rPr>
          <w:rFonts w:cs="Arial"/>
          <w:szCs w:val="24"/>
        </w:rPr>
      </w:pPr>
      <w:r>
        <w:rPr>
          <w:rFonts w:cs="Arial"/>
          <w:szCs w:val="24"/>
        </w:rPr>
        <w:t xml:space="preserve">Look for collaborative solutions through services provided by </w:t>
      </w:r>
      <w:r w:rsidR="00E6223F">
        <w:rPr>
          <w:rFonts w:cs="Arial"/>
          <w:szCs w:val="24"/>
        </w:rPr>
        <w:t>Pershing Memorial Hospital</w:t>
      </w:r>
      <w:r>
        <w:rPr>
          <w:rFonts w:cs="Arial"/>
          <w:szCs w:val="24"/>
        </w:rPr>
        <w:t xml:space="preserve"> and other community outreach programs. </w:t>
      </w:r>
    </w:p>
    <w:p w:rsidR="004F5917" w:rsidRDefault="00464299" w:rsidP="004F5917">
      <w:pPr>
        <w:numPr>
          <w:ilvl w:val="0"/>
          <w:numId w:val="4"/>
        </w:numPr>
        <w:spacing w:after="0"/>
        <w:rPr>
          <w:rFonts w:cs="Arial"/>
          <w:szCs w:val="24"/>
        </w:rPr>
      </w:pPr>
      <w:r>
        <w:rPr>
          <w:rFonts w:cs="Arial"/>
          <w:szCs w:val="24"/>
        </w:rPr>
        <w:t xml:space="preserve">To capture the opinion of </w:t>
      </w:r>
      <w:r w:rsidR="004F5917">
        <w:rPr>
          <w:rFonts w:cs="Arial"/>
          <w:szCs w:val="24"/>
        </w:rPr>
        <w:t>community stakeholders including; independent heal</w:t>
      </w:r>
      <w:r w:rsidR="00E6223F">
        <w:rPr>
          <w:rFonts w:cs="Arial"/>
          <w:szCs w:val="24"/>
        </w:rPr>
        <w:t>thcare professionals, Linn</w:t>
      </w:r>
      <w:r w:rsidR="004F5917">
        <w:rPr>
          <w:rFonts w:cs="Arial"/>
          <w:szCs w:val="24"/>
        </w:rPr>
        <w:t xml:space="preserve"> County Health Department officials, </w:t>
      </w:r>
      <w:r w:rsidR="00E6223F">
        <w:rPr>
          <w:rFonts w:cs="Arial"/>
          <w:szCs w:val="24"/>
        </w:rPr>
        <w:t>Pershing Memorial Hospital</w:t>
      </w:r>
      <w:r w:rsidR="004F5917">
        <w:rPr>
          <w:rFonts w:cs="Arial"/>
          <w:szCs w:val="24"/>
        </w:rPr>
        <w:t xml:space="preserve"> employees, and additional members of the community. </w:t>
      </w:r>
    </w:p>
    <w:p w:rsidR="004F5917" w:rsidRPr="00717B09" w:rsidRDefault="004F5917" w:rsidP="004F5917">
      <w:pPr>
        <w:spacing w:after="0"/>
        <w:rPr>
          <w:rFonts w:cs="Arial"/>
          <w:szCs w:val="24"/>
        </w:rPr>
      </w:pPr>
    </w:p>
    <w:p w:rsidR="004F5917" w:rsidRPr="00074652" w:rsidRDefault="004F5917" w:rsidP="004F5917">
      <w:pPr>
        <w:spacing w:after="0"/>
        <w:rPr>
          <w:rFonts w:cs="Arial"/>
          <w:szCs w:val="24"/>
        </w:rPr>
      </w:pPr>
    </w:p>
    <w:p w:rsidR="004F5917" w:rsidRDefault="004F5917" w:rsidP="004F5917">
      <w:pPr>
        <w:spacing w:after="0"/>
        <w:rPr>
          <w:rFonts w:cs="Arial"/>
          <w:szCs w:val="24"/>
        </w:rPr>
      </w:pPr>
      <w:r>
        <w:rPr>
          <w:rFonts w:cs="Arial"/>
          <w:i/>
          <w:szCs w:val="24"/>
        </w:rPr>
        <w:t>Disclaimer</w:t>
      </w:r>
      <w:r w:rsidRPr="00717B09">
        <w:rPr>
          <w:rFonts w:cs="Arial"/>
          <w:i/>
          <w:szCs w:val="24"/>
        </w:rPr>
        <w:t>:</w:t>
      </w:r>
      <w:r>
        <w:rPr>
          <w:rFonts w:cs="Arial"/>
          <w:szCs w:val="24"/>
        </w:rPr>
        <w:t xml:space="preserve"> The information and data for this assessment was collected from various sources including; U.S. Census Bureau, County Health Department, Missouri Hospital Association, Missouri Department of Health and Senior Services, Missouri Information for Community Assessment, and various other local and state agencies. The data collected through these agencies are by no means exhaustive and future research needs to be conducted in order to insure the most accurate and up to date representation of </w:t>
      </w:r>
      <w:r w:rsidR="00E6223F">
        <w:rPr>
          <w:rFonts w:cs="Arial"/>
          <w:szCs w:val="24"/>
        </w:rPr>
        <w:t>Linn</w:t>
      </w:r>
      <w:r w:rsidR="0042548B">
        <w:rPr>
          <w:rFonts w:cs="Arial"/>
          <w:szCs w:val="24"/>
        </w:rPr>
        <w:t xml:space="preserve"> County</w:t>
      </w:r>
      <w:r>
        <w:rPr>
          <w:rFonts w:cs="Arial"/>
          <w:szCs w:val="24"/>
        </w:rPr>
        <w:t xml:space="preserve">.   </w:t>
      </w:r>
    </w:p>
    <w:p w:rsidR="004F5917" w:rsidRPr="00074652" w:rsidRDefault="004F5917" w:rsidP="004F5917">
      <w:pPr>
        <w:spacing w:after="0"/>
        <w:rPr>
          <w:szCs w:val="24"/>
        </w:rPr>
      </w:pPr>
    </w:p>
    <w:p w:rsidR="004F5917" w:rsidRPr="00074652" w:rsidRDefault="004F5917" w:rsidP="004F5917">
      <w:pPr>
        <w:pStyle w:val="Heading2"/>
        <w:rPr>
          <w:color w:val="auto"/>
        </w:rPr>
      </w:pPr>
      <w:bookmarkStart w:id="13" w:name="_Toc292981191"/>
      <w:bookmarkStart w:id="14" w:name="_Toc318638252"/>
      <w:bookmarkStart w:id="15" w:name="_Toc229126442"/>
      <w:r w:rsidRPr="00074652">
        <w:rPr>
          <w:color w:val="auto"/>
        </w:rPr>
        <w:t>Methodology</w:t>
      </w:r>
      <w:bookmarkEnd w:id="13"/>
      <w:bookmarkEnd w:id="14"/>
      <w:bookmarkEnd w:id="15"/>
    </w:p>
    <w:p w:rsidR="004F5917" w:rsidRDefault="00E6223F" w:rsidP="004F5917">
      <w:pPr>
        <w:rPr>
          <w:rFonts w:cs="Arial"/>
          <w:szCs w:val="24"/>
        </w:rPr>
      </w:pPr>
      <w:r>
        <w:rPr>
          <w:szCs w:val="24"/>
        </w:rPr>
        <w:t>Pershing Memorial Hospital’s</w:t>
      </w:r>
      <w:r w:rsidR="004F5917">
        <w:rPr>
          <w:szCs w:val="24"/>
        </w:rPr>
        <w:t xml:space="preserve"> CHNA will be constructed using the following sources; </w:t>
      </w:r>
      <w:r w:rsidR="004F5917">
        <w:rPr>
          <w:rFonts w:cs="Arial"/>
          <w:szCs w:val="24"/>
        </w:rPr>
        <w:t xml:space="preserve">U.S. Census Bureau, County Health Department, Missouri Hospital Association, Missouri Department of Health and Senior Services, Missouri Information for Community Assessment, and </w:t>
      </w:r>
      <w:r w:rsidR="004F5917" w:rsidRPr="002F2F5D">
        <w:rPr>
          <w:rFonts w:cs="Arial"/>
          <w:i/>
          <w:szCs w:val="24"/>
        </w:rPr>
        <w:t>County Health Rankings</w:t>
      </w:r>
      <w:r w:rsidR="004F5917">
        <w:rPr>
          <w:rFonts w:cs="Arial"/>
          <w:szCs w:val="24"/>
        </w:rPr>
        <w:t xml:space="preserve">. Data will also be obtained from </w:t>
      </w:r>
      <w:r>
        <w:rPr>
          <w:rFonts w:cs="Arial"/>
          <w:szCs w:val="24"/>
        </w:rPr>
        <w:t>Pershing Memorial Hospital</w:t>
      </w:r>
      <w:r w:rsidR="004F5917">
        <w:rPr>
          <w:rFonts w:cs="Arial"/>
          <w:szCs w:val="24"/>
        </w:rPr>
        <w:t xml:space="preserve">, </w:t>
      </w:r>
      <w:r>
        <w:rPr>
          <w:rFonts w:cs="Arial"/>
          <w:szCs w:val="24"/>
        </w:rPr>
        <w:t>Pershing Health System</w:t>
      </w:r>
      <w:r w:rsidR="004F5917">
        <w:rPr>
          <w:rFonts w:cs="Arial"/>
          <w:szCs w:val="24"/>
        </w:rPr>
        <w:t xml:space="preserve">, and partnering agencies. </w:t>
      </w:r>
    </w:p>
    <w:p w:rsidR="00BF5653" w:rsidRPr="00074652" w:rsidRDefault="004F5917" w:rsidP="004F5917">
      <w:pPr>
        <w:rPr>
          <w:szCs w:val="24"/>
        </w:rPr>
      </w:pPr>
      <w:r>
        <w:rPr>
          <w:szCs w:val="24"/>
        </w:rPr>
        <w:lastRenderedPageBreak/>
        <w:t xml:space="preserve">In </w:t>
      </w:r>
      <w:r w:rsidR="00753C8D">
        <w:rPr>
          <w:szCs w:val="24"/>
        </w:rPr>
        <w:t>Li</w:t>
      </w:r>
      <w:r w:rsidR="00E6223F">
        <w:rPr>
          <w:szCs w:val="24"/>
        </w:rPr>
        <w:t>nn</w:t>
      </w:r>
      <w:r w:rsidR="00753C8D">
        <w:rPr>
          <w:szCs w:val="24"/>
        </w:rPr>
        <w:t xml:space="preserve"> County</w:t>
      </w:r>
      <w:r>
        <w:rPr>
          <w:szCs w:val="24"/>
        </w:rPr>
        <w:t xml:space="preserve"> there exist several health related vulnerabilities and indicators that will be used to represent the status of the county as compared to national and state benchmarks. </w:t>
      </w:r>
      <w:r w:rsidR="00B77DF4">
        <w:rPr>
          <w:szCs w:val="24"/>
        </w:rPr>
        <w:t>The CHNA will organize, construct, and accurately represent</w:t>
      </w:r>
      <w:r w:rsidR="005B16F7">
        <w:rPr>
          <w:szCs w:val="24"/>
        </w:rPr>
        <w:t xml:space="preserve"> the comparisons in a manner that will allow the community to understand where their county is positioned in terms of health.  </w:t>
      </w:r>
      <w:r w:rsidR="00B77DF4">
        <w:rPr>
          <w:szCs w:val="24"/>
        </w:rPr>
        <w:t xml:space="preserve"> </w:t>
      </w:r>
    </w:p>
    <w:p w:rsidR="004F5917" w:rsidRPr="00400EBF" w:rsidRDefault="004F5917" w:rsidP="004F5917">
      <w:pPr>
        <w:autoSpaceDE w:val="0"/>
        <w:autoSpaceDN w:val="0"/>
        <w:adjustRightInd w:val="0"/>
        <w:spacing w:after="0"/>
        <w:rPr>
          <w:color w:val="FF0000"/>
          <w:szCs w:val="24"/>
        </w:rPr>
      </w:pPr>
      <w:bookmarkStart w:id="16" w:name="_Toc292981192"/>
      <w:bookmarkStart w:id="17" w:name="_Toc318638253"/>
      <w:r>
        <w:rPr>
          <w:szCs w:val="24"/>
        </w:rPr>
        <w:t xml:space="preserve">Key stakeholder </w:t>
      </w:r>
      <w:r w:rsidR="003A5656">
        <w:rPr>
          <w:szCs w:val="24"/>
        </w:rPr>
        <w:t>discussions</w:t>
      </w:r>
      <w:r>
        <w:rPr>
          <w:szCs w:val="24"/>
        </w:rPr>
        <w:t xml:space="preserve"> were </w:t>
      </w:r>
      <w:r w:rsidR="003A5656">
        <w:rPr>
          <w:szCs w:val="24"/>
        </w:rPr>
        <w:t>undertaken</w:t>
      </w:r>
      <w:r>
        <w:rPr>
          <w:szCs w:val="24"/>
        </w:rPr>
        <w:t xml:space="preserve"> to ascertain the health vul</w:t>
      </w:r>
      <w:r w:rsidR="00753C8D">
        <w:rPr>
          <w:szCs w:val="24"/>
        </w:rPr>
        <w:t>ne</w:t>
      </w:r>
      <w:r w:rsidR="00E6223F">
        <w:rPr>
          <w:szCs w:val="24"/>
        </w:rPr>
        <w:t>rabilities and indicators of Linn</w:t>
      </w:r>
      <w:r w:rsidR="00753C8D">
        <w:rPr>
          <w:szCs w:val="24"/>
        </w:rPr>
        <w:t xml:space="preserve"> County</w:t>
      </w:r>
      <w:r>
        <w:rPr>
          <w:szCs w:val="24"/>
        </w:rPr>
        <w:t xml:space="preserve">. Stakeholders were selected from the following groups; </w:t>
      </w:r>
      <w:r>
        <w:rPr>
          <w:rFonts w:cs="Arial"/>
          <w:szCs w:val="24"/>
        </w:rPr>
        <w:t xml:space="preserve">independent healthcare professionals, County Health Department officials, </w:t>
      </w:r>
      <w:r w:rsidR="00E6223F">
        <w:rPr>
          <w:rFonts w:cs="Arial"/>
          <w:szCs w:val="24"/>
        </w:rPr>
        <w:t>Pershing Memorial Hospital</w:t>
      </w:r>
      <w:r>
        <w:rPr>
          <w:rFonts w:cs="Arial"/>
          <w:szCs w:val="24"/>
        </w:rPr>
        <w:t xml:space="preserve"> employees, and other members of the community. </w:t>
      </w:r>
    </w:p>
    <w:p w:rsidR="00BF5653" w:rsidRPr="00074652" w:rsidRDefault="00BF5653" w:rsidP="00BF5653">
      <w:pPr>
        <w:pStyle w:val="Heading2"/>
      </w:pPr>
      <w:bookmarkStart w:id="18" w:name="_Toc229126443"/>
      <w:r w:rsidRPr="00FB466B">
        <w:t>Community</w:t>
      </w:r>
      <w:r w:rsidRPr="00074652">
        <w:t xml:space="preserve"> Health</w:t>
      </w:r>
      <w:r w:rsidR="00657D88">
        <w:t xml:space="preserve"> N</w:t>
      </w:r>
      <w:r>
        <w:t>eeds</w:t>
      </w:r>
      <w:r w:rsidRPr="00074652">
        <w:t xml:space="preserve"> Assessment</w:t>
      </w:r>
      <w:bookmarkEnd w:id="16"/>
      <w:bookmarkEnd w:id="17"/>
      <w:bookmarkEnd w:id="18"/>
    </w:p>
    <w:p w:rsidR="004F5917" w:rsidRPr="00074652" w:rsidRDefault="004F5917" w:rsidP="004F5917">
      <w:pPr>
        <w:rPr>
          <w:szCs w:val="24"/>
        </w:rPr>
      </w:pPr>
      <w:r>
        <w:rPr>
          <w:szCs w:val="24"/>
        </w:rPr>
        <w:t>The Internal Revenue Service in conjunction with the Patient Protection and Affordable Care Act (ACA) has outlined several guidelines that dictate how the CHNA is to be organized as indicated below</w:t>
      </w:r>
      <w:r w:rsidRPr="00074652">
        <w:rPr>
          <w:szCs w:val="24"/>
        </w:rPr>
        <w:t xml:space="preserve">: </w:t>
      </w:r>
    </w:p>
    <w:p w:rsidR="004F5917" w:rsidRPr="00074652" w:rsidRDefault="004F5917" w:rsidP="004F5917">
      <w:pPr>
        <w:autoSpaceDE w:val="0"/>
        <w:autoSpaceDN w:val="0"/>
        <w:adjustRightInd w:val="0"/>
        <w:ind w:left="720"/>
        <w:rPr>
          <w:rFonts w:cs="Tahoma"/>
          <w:szCs w:val="24"/>
        </w:rPr>
      </w:pPr>
      <w:r w:rsidRPr="00074652">
        <w:rPr>
          <w:rFonts w:cs="Tahoma"/>
          <w:szCs w:val="24"/>
        </w:rPr>
        <w:t>1. “…</w:t>
      </w:r>
      <w:r>
        <w:rPr>
          <w:lang w:val="en"/>
        </w:rPr>
        <w:t>The CHNA must (1) take into account input from persons who represent the broad interests of the community served by the hospital facility, including those with special knowledge of or expertise in public health and (2) be made widely available to the public</w:t>
      </w:r>
      <w:r>
        <w:rPr>
          <w:rFonts w:cs="Tahoma"/>
          <w:szCs w:val="24"/>
        </w:rPr>
        <w:t xml:space="preserve">” </w:t>
      </w:r>
      <w:r w:rsidRPr="00DF7B83">
        <w:rPr>
          <w:rFonts w:cs="Tahoma"/>
          <w:szCs w:val="24"/>
        </w:rPr>
        <w:t xml:space="preserve">(Internal Revenue Service, Section </w:t>
      </w:r>
      <w:r>
        <w:rPr>
          <w:lang w:val="en"/>
        </w:rPr>
        <w:t>501(r)</w:t>
      </w:r>
      <w:r w:rsidRPr="00DF7B83">
        <w:rPr>
          <w:lang w:val="en"/>
        </w:rPr>
        <w:t>(3)(B)</w:t>
      </w:r>
      <w:r>
        <w:rPr>
          <w:lang w:val="en"/>
        </w:rPr>
        <w:t xml:space="preserve">). </w:t>
      </w:r>
    </w:p>
    <w:p w:rsidR="004F5917" w:rsidRDefault="004F5917" w:rsidP="004F5917">
      <w:pPr>
        <w:autoSpaceDE w:val="0"/>
        <w:autoSpaceDN w:val="0"/>
        <w:adjustRightInd w:val="0"/>
        <w:ind w:left="720"/>
        <w:rPr>
          <w:lang w:val="en"/>
        </w:rPr>
      </w:pPr>
      <w:r w:rsidRPr="00074652">
        <w:rPr>
          <w:rFonts w:cs="Tahoma"/>
          <w:szCs w:val="24"/>
        </w:rPr>
        <w:t>2. “</w:t>
      </w:r>
      <w:r>
        <w:rPr>
          <w:rFonts w:cs="Tahoma"/>
          <w:szCs w:val="24"/>
        </w:rPr>
        <w:t>…</w:t>
      </w:r>
      <w:r>
        <w:rPr>
          <w:lang w:val="en"/>
        </w:rPr>
        <w:t>May be based on current information collected by a public health agency or non-profit organizations and may be conducted together with one or more organizations, including related organizations</w:t>
      </w:r>
      <w:r w:rsidRPr="00074652">
        <w:rPr>
          <w:rFonts w:cs="Tahoma"/>
          <w:szCs w:val="24"/>
        </w:rPr>
        <w:t xml:space="preserve">” </w:t>
      </w:r>
      <w:r>
        <w:rPr>
          <w:rFonts w:cs="Tahoma"/>
          <w:szCs w:val="24"/>
        </w:rPr>
        <w:t>(</w:t>
      </w:r>
      <w:r w:rsidRPr="00D0082A">
        <w:rPr>
          <w:lang w:val="en"/>
        </w:rPr>
        <w:t xml:space="preserve">Joint Committee on Taxation, </w:t>
      </w:r>
      <w:r w:rsidRPr="00D0082A">
        <w:rPr>
          <w:i/>
          <w:iCs/>
          <w:lang w:val="en"/>
        </w:rPr>
        <w:t>Technical Explanation of the Revenue Provisions of the “Reconciliation Act of 2010,” as amended, in combination with the “Patient Protection and Affordable Care Act”</w:t>
      </w:r>
      <w:r w:rsidRPr="00D0082A">
        <w:rPr>
          <w:lang w:val="en"/>
        </w:rPr>
        <w:t xml:space="preserve"> (JCX-18-10), at 81, March 21, 2010</w:t>
      </w:r>
      <w:r>
        <w:rPr>
          <w:lang w:val="en"/>
        </w:rPr>
        <w:t>).</w:t>
      </w:r>
    </w:p>
    <w:p w:rsidR="004F5917" w:rsidRPr="00074652" w:rsidRDefault="004F5917" w:rsidP="004F5917">
      <w:pPr>
        <w:autoSpaceDE w:val="0"/>
        <w:autoSpaceDN w:val="0"/>
        <w:adjustRightInd w:val="0"/>
        <w:ind w:left="720"/>
        <w:rPr>
          <w:rFonts w:cs="Tahoma"/>
          <w:szCs w:val="24"/>
        </w:rPr>
      </w:pPr>
      <w:r>
        <w:rPr>
          <w:lang w:val="en"/>
        </w:rPr>
        <w:t>3. “…</w:t>
      </w:r>
      <w:r w:rsidRPr="00F862E1">
        <w:rPr>
          <w:lang w:val="en"/>
        </w:rPr>
        <w:t>requires hospital organizations to include in their annual information return (</w:t>
      </w:r>
      <w:r w:rsidRPr="00F862E1">
        <w:rPr>
          <w:i/>
          <w:iCs/>
          <w:lang w:val="en"/>
        </w:rPr>
        <w:t>i.e.</w:t>
      </w:r>
      <w:r w:rsidRPr="00F862E1">
        <w:rPr>
          <w:lang w:val="en"/>
        </w:rPr>
        <w:t>, Form 990) a description of how the organization is addressing the needs identified in each CHNA conducted under section 501(r)(3) and a description of any needs that are not being addressed, along with the reasons why the needs are not being addressed</w:t>
      </w:r>
      <w:r>
        <w:rPr>
          <w:lang w:val="en"/>
        </w:rPr>
        <w:t xml:space="preserve">” (Internal Revenue Service, Section 6033(b)(15)(A)). </w:t>
      </w:r>
    </w:p>
    <w:p w:rsidR="004F5917" w:rsidRDefault="00E6223F" w:rsidP="004F5917">
      <w:pPr>
        <w:rPr>
          <w:rFonts w:cs="Tahoma"/>
          <w:szCs w:val="24"/>
        </w:rPr>
      </w:pPr>
      <w:r>
        <w:rPr>
          <w:rFonts w:cs="Tahoma"/>
          <w:szCs w:val="24"/>
        </w:rPr>
        <w:t>Pershing Memorial Hospital</w:t>
      </w:r>
      <w:r w:rsidR="004F5917">
        <w:rPr>
          <w:rFonts w:cs="Tahoma"/>
          <w:szCs w:val="24"/>
        </w:rPr>
        <w:t xml:space="preserve"> must meet all of the above criteria in order to remain in compliance with IRS and ACA mandates and maintain its not-for-profit status. </w:t>
      </w:r>
    </w:p>
    <w:p w:rsidR="00BF5653" w:rsidRPr="00DB55AC" w:rsidRDefault="00E6223F" w:rsidP="00DB55AC">
      <w:pPr>
        <w:rPr>
          <w:rFonts w:cs="Tahoma"/>
          <w:szCs w:val="24"/>
        </w:rPr>
      </w:pPr>
      <w:r>
        <w:rPr>
          <w:rFonts w:cs="Tahoma"/>
          <w:szCs w:val="24"/>
        </w:rPr>
        <w:t>Pershing Memorial Hospital</w:t>
      </w:r>
      <w:r w:rsidR="00DB55AC">
        <w:rPr>
          <w:rFonts w:cs="Tahoma"/>
          <w:szCs w:val="24"/>
        </w:rPr>
        <w:t xml:space="preserve"> must also demonstrate community benefit in order to enjoy the not-for-profit designation</w:t>
      </w:r>
      <w:r w:rsidR="004F5917">
        <w:rPr>
          <w:rFonts w:cs="Tahoma"/>
          <w:szCs w:val="24"/>
        </w:rPr>
        <w:t>,</w:t>
      </w:r>
      <w:r w:rsidR="00DB55AC">
        <w:rPr>
          <w:rFonts w:cs="Tahoma"/>
          <w:szCs w:val="24"/>
        </w:rPr>
        <w:t xml:space="preserve"> which it does through a variety of services and donations to the community. </w:t>
      </w:r>
      <w:r w:rsidR="00DB55AC">
        <w:rPr>
          <w:rFonts w:cs="Arial"/>
        </w:rPr>
        <w:t>T</w:t>
      </w:r>
      <w:r w:rsidR="00B35FA7">
        <w:rPr>
          <w:rFonts w:cs="Arial"/>
        </w:rPr>
        <w:t>he opportunity to help those who</w:t>
      </w:r>
      <w:r w:rsidR="00DB55AC">
        <w:rPr>
          <w:rFonts w:cs="Arial"/>
        </w:rPr>
        <w:t xml:space="preserve"> need </w:t>
      </w:r>
      <w:r w:rsidR="00B35FA7">
        <w:rPr>
          <w:rFonts w:cs="Arial"/>
        </w:rPr>
        <w:t xml:space="preserve">it </w:t>
      </w:r>
      <w:r w:rsidR="00BF197F">
        <w:rPr>
          <w:rFonts w:cs="Arial"/>
        </w:rPr>
        <w:t>most is something that PMH</w:t>
      </w:r>
      <w:r w:rsidR="00DB55AC">
        <w:rPr>
          <w:rFonts w:cs="Arial"/>
        </w:rPr>
        <w:t xml:space="preserve"> prides itself in and similarly </w:t>
      </w:r>
      <w:r w:rsidR="00BF197F">
        <w:rPr>
          <w:rFonts w:cs="Arial"/>
        </w:rPr>
        <w:t>holds</w:t>
      </w:r>
      <w:r w:rsidR="00DB55AC">
        <w:rPr>
          <w:rFonts w:cs="Arial"/>
        </w:rPr>
        <w:t xml:space="preserve"> stewardship </w:t>
      </w:r>
      <w:r w:rsidR="00BF197F">
        <w:rPr>
          <w:rFonts w:cs="Arial"/>
        </w:rPr>
        <w:t xml:space="preserve">as </w:t>
      </w:r>
      <w:r w:rsidR="00DB55AC">
        <w:rPr>
          <w:rFonts w:cs="Arial"/>
        </w:rPr>
        <w:t>one of the s</w:t>
      </w:r>
      <w:r w:rsidR="00753C8D">
        <w:rPr>
          <w:rFonts w:cs="Arial"/>
        </w:rPr>
        <w:t>ystem</w:t>
      </w:r>
      <w:r w:rsidR="00B35FA7">
        <w:rPr>
          <w:rFonts w:cs="Arial"/>
        </w:rPr>
        <w:t>’</w:t>
      </w:r>
      <w:r w:rsidR="00753C8D">
        <w:rPr>
          <w:rFonts w:cs="Arial"/>
        </w:rPr>
        <w:t>s core values. The service</w:t>
      </w:r>
      <w:r w:rsidR="00BF197F">
        <w:rPr>
          <w:rFonts w:cs="Arial"/>
        </w:rPr>
        <w:t xml:space="preserve"> that PMH</w:t>
      </w:r>
      <w:r w:rsidR="00DB55AC">
        <w:rPr>
          <w:rFonts w:cs="Arial"/>
        </w:rPr>
        <w:t xml:space="preserve"> provides as </w:t>
      </w:r>
      <w:r w:rsidR="005521BE">
        <w:rPr>
          <w:rFonts w:cs="Arial"/>
        </w:rPr>
        <w:t xml:space="preserve">a </w:t>
      </w:r>
      <w:r w:rsidR="00DB55AC">
        <w:rPr>
          <w:rFonts w:cs="Arial"/>
        </w:rPr>
        <w:t xml:space="preserve">part of community benefit is vital to the </w:t>
      </w:r>
      <w:r w:rsidR="00BF197F">
        <w:rPr>
          <w:rFonts w:cs="Arial"/>
        </w:rPr>
        <w:t>well being</w:t>
      </w:r>
      <w:r w:rsidR="00DB55AC">
        <w:rPr>
          <w:rFonts w:cs="Arial"/>
        </w:rPr>
        <w:t xml:space="preserve"> of underserved populations and include; community health improvement services, community health education, community based clinical services, healthcare support services, and financial in-kind contributions. </w:t>
      </w:r>
      <w:r w:rsidR="00753C8D">
        <w:rPr>
          <w:rFonts w:cs="Arial"/>
        </w:rPr>
        <w:t xml:space="preserve"> </w:t>
      </w:r>
      <w:r w:rsidR="00BF197F">
        <w:rPr>
          <w:rFonts w:cs="Arial"/>
        </w:rPr>
        <w:t xml:space="preserve"> </w:t>
      </w:r>
    </w:p>
    <w:p w:rsidR="00BF5653" w:rsidRPr="00074652" w:rsidRDefault="00BF5653" w:rsidP="00BF5653">
      <w:pPr>
        <w:pStyle w:val="Heading1"/>
        <w:rPr>
          <w:b/>
          <w:bCs/>
          <w:color w:val="auto"/>
        </w:rPr>
      </w:pPr>
      <w:r w:rsidRPr="00074652">
        <w:rPr>
          <w:color w:val="auto"/>
        </w:rPr>
        <w:br w:type="page"/>
      </w:r>
      <w:bookmarkStart w:id="19" w:name="_Toc292981193"/>
      <w:bookmarkStart w:id="20" w:name="_Toc318638254"/>
      <w:bookmarkStart w:id="21" w:name="_Toc229126444"/>
      <w:r w:rsidRPr="00074652">
        <w:rPr>
          <w:color w:val="auto"/>
        </w:rPr>
        <w:lastRenderedPageBreak/>
        <w:t xml:space="preserve">I. </w:t>
      </w:r>
      <w:r w:rsidR="00BF197F">
        <w:rPr>
          <w:color w:val="auto"/>
          <w:lang w:val="en-US"/>
        </w:rPr>
        <w:t>Lin</w:t>
      </w:r>
      <w:r w:rsidR="00753C8D">
        <w:rPr>
          <w:color w:val="auto"/>
          <w:lang w:val="en-US"/>
        </w:rPr>
        <w:t>n County Key</w:t>
      </w:r>
      <w:r w:rsidRPr="00074652">
        <w:rPr>
          <w:color w:val="auto"/>
        </w:rPr>
        <w:t xml:space="preserve"> Demographics</w:t>
      </w:r>
      <w:bookmarkEnd w:id="19"/>
      <w:bookmarkEnd w:id="20"/>
      <w:bookmarkEnd w:id="21"/>
    </w:p>
    <w:p w:rsidR="00BF5653" w:rsidRPr="00024CC1" w:rsidRDefault="002F2F5D" w:rsidP="00BF5653">
      <w:r w:rsidRPr="00024CC1">
        <w:t>Using the U.S. Census Bureau and County Health Rankings websites</w:t>
      </w:r>
      <w:r w:rsidR="00BA552A">
        <w:t>’</w:t>
      </w:r>
      <w:r w:rsidRPr="00024CC1">
        <w:t xml:space="preserve"> </w:t>
      </w:r>
      <w:r w:rsidR="00426A4F" w:rsidRPr="00024CC1">
        <w:t xml:space="preserve">key </w:t>
      </w:r>
      <w:r w:rsidRPr="00024CC1">
        <w:t xml:space="preserve">demographical information about </w:t>
      </w:r>
      <w:r w:rsidR="00BF197F" w:rsidRPr="00024CC1">
        <w:t>Linn</w:t>
      </w:r>
      <w:r w:rsidR="00426A4F" w:rsidRPr="00024CC1">
        <w:t xml:space="preserve"> County</w:t>
      </w:r>
      <w:r w:rsidRPr="00024CC1">
        <w:t xml:space="preserve"> has been compiled and is displayed below: </w:t>
      </w:r>
    </w:p>
    <w:p w:rsidR="00BF5653" w:rsidRPr="00024CC1" w:rsidRDefault="00BF5653" w:rsidP="00BF5653"/>
    <w:p w:rsidR="00BF5653" w:rsidRPr="00074652" w:rsidRDefault="00657D88" w:rsidP="005521BE">
      <w:pPr>
        <w:pStyle w:val="Heading2"/>
        <w:pBdr>
          <w:bottom w:val="single" w:sz="4" w:space="1" w:color="auto"/>
        </w:pBdr>
        <w:spacing w:before="0"/>
        <w:rPr>
          <w:color w:val="auto"/>
        </w:rPr>
      </w:pPr>
      <w:bookmarkStart w:id="22" w:name="_Toc318638255"/>
      <w:bookmarkStart w:id="23" w:name="_Toc229126445"/>
      <w:r>
        <w:rPr>
          <w:color w:val="auto"/>
        </w:rPr>
        <w:t>G</w:t>
      </w:r>
      <w:r w:rsidR="00BF5653" w:rsidRPr="00024CC1">
        <w:rPr>
          <w:color w:val="auto"/>
        </w:rPr>
        <w:t>eography</w:t>
      </w:r>
      <w:bookmarkEnd w:id="22"/>
      <w:bookmarkEnd w:id="23"/>
    </w:p>
    <w:p w:rsidR="001F4038" w:rsidRDefault="00FA23ED" w:rsidP="001F4038">
      <w:bookmarkStart w:id="24" w:name="_Toc292981194"/>
      <w:r>
        <w:rPr>
          <w:noProof/>
        </w:rPr>
        <w:drawing>
          <wp:anchor distT="0" distB="0" distL="114300" distR="114300" simplePos="0" relativeHeight="251665408" behindDoc="1" locked="0" layoutInCell="1" allowOverlap="1">
            <wp:simplePos x="0" y="0"/>
            <wp:positionH relativeFrom="column">
              <wp:posOffset>228600</wp:posOffset>
            </wp:positionH>
            <wp:positionV relativeFrom="paragraph">
              <wp:posOffset>1572895</wp:posOffset>
            </wp:positionV>
            <wp:extent cx="5257800" cy="394716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394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97F" w:rsidRPr="00BA552A">
        <w:t>Linn</w:t>
      </w:r>
      <w:r w:rsidR="00670C41" w:rsidRPr="00BA552A">
        <w:t xml:space="preserve"> County is designated as the serv</w:t>
      </w:r>
      <w:r w:rsidR="0052615A" w:rsidRPr="00BA552A">
        <w:t>ice area for the purposes of this</w:t>
      </w:r>
      <w:r w:rsidR="00670C41" w:rsidRPr="00BA552A">
        <w:t xml:space="preserve"> community health needs assessment</w:t>
      </w:r>
      <w:r w:rsidR="0052615A" w:rsidRPr="00BA552A">
        <w:t>,</w:t>
      </w:r>
      <w:r w:rsidR="00670C41" w:rsidRPr="00BA552A">
        <w:t xml:space="preserve"> </w:t>
      </w:r>
      <w:r w:rsidR="0035345F" w:rsidRPr="00BA552A">
        <w:t>due to</w:t>
      </w:r>
      <w:r w:rsidR="00670C41" w:rsidRPr="00BA552A">
        <w:t xml:space="preserve"> the availability of data and because it is the county where the majority</w:t>
      </w:r>
      <w:r w:rsidR="00B84E22" w:rsidRPr="00BA552A">
        <w:t xml:space="preserve"> </w:t>
      </w:r>
      <w:r w:rsidR="0052615A" w:rsidRPr="00BA552A">
        <w:t xml:space="preserve">of </w:t>
      </w:r>
      <w:r w:rsidR="00670C41" w:rsidRPr="00BA552A">
        <w:t xml:space="preserve">patients for </w:t>
      </w:r>
      <w:r w:rsidR="00BF197F" w:rsidRPr="00BA552A">
        <w:t>Pershing Memorial Hospital</w:t>
      </w:r>
      <w:r w:rsidR="00670C41" w:rsidRPr="00BA552A">
        <w:t xml:space="preserve"> reside. </w:t>
      </w:r>
      <w:r w:rsidR="008D0F58" w:rsidRPr="00BA552A">
        <w:t>Pershing Memorial Hospital is a private, not-for-profit critical access facility licensed for 25 beds by the State of Missouri and managed by Boone Hospital Center in Columbia. The hospital is a member of the Missouri Hospital Association, and Missouri Rural Health Association. The medical staff consists of 42 physicians/specialist and three helicopter ambulance services with flight time of approximately 30 minutes to Columbia and 35 minutes to Kansas City. Pershing also operates Community Medical Associates, a physician’s office</w:t>
      </w:r>
      <w:r w:rsidR="008D0F58">
        <w:t xml:space="preserve"> practice with services 7 day/week, Applegate Medical Group</w:t>
      </w:r>
      <w:r w:rsidR="00BA552A">
        <w:t>,</w:t>
      </w:r>
      <w:r w:rsidR="008D0F58">
        <w:t xml:space="preserve"> an</w:t>
      </w:r>
      <w:r w:rsidR="0052615A">
        <w:t xml:space="preserve">d the Meadville Medical Clinic. </w:t>
      </w:r>
    </w:p>
    <w:p w:rsidR="0052615A" w:rsidRPr="0052615A" w:rsidRDefault="0052615A" w:rsidP="001F4038">
      <w:pPr>
        <w:rPr>
          <w:color w:val="FF0000"/>
          <w:vertAlign w:val="subscript"/>
        </w:rPr>
      </w:pPr>
    </w:p>
    <w:p w:rsidR="00100D48" w:rsidRPr="00D3738B" w:rsidRDefault="00100D48" w:rsidP="0019452A">
      <w:pPr>
        <w:autoSpaceDE w:val="0"/>
        <w:autoSpaceDN w:val="0"/>
        <w:adjustRightInd w:val="0"/>
        <w:ind w:firstLine="720"/>
      </w:pPr>
    </w:p>
    <w:p w:rsidR="00BF5653" w:rsidRDefault="00BF5653" w:rsidP="00BF5653">
      <w:pPr>
        <w:pStyle w:val="DefaultParagraph"/>
        <w:spacing w:after="240" w:line="256" w:lineRule="exact"/>
        <w:rPr>
          <w:rFonts w:ascii="Cambria" w:hAnsi="Cambria" w:cs="Cambria"/>
          <w:sz w:val="22"/>
          <w:szCs w:val="22"/>
        </w:rPr>
      </w:pPr>
    </w:p>
    <w:p w:rsidR="00BF5653" w:rsidRPr="00E04156" w:rsidRDefault="00BF5653" w:rsidP="00E04156">
      <w:pPr>
        <w:pStyle w:val="Heading2"/>
        <w:pBdr>
          <w:bottom w:val="none" w:sz="0" w:space="0" w:color="auto"/>
        </w:pBdr>
        <w:spacing w:before="0"/>
        <w:jc w:val="left"/>
        <w:rPr>
          <w:color w:val="auto"/>
          <w:lang w:val="en-US"/>
        </w:rPr>
      </w:pPr>
    </w:p>
    <w:p w:rsidR="00BF5653" w:rsidRDefault="00BF5653" w:rsidP="00E04156">
      <w:pPr>
        <w:pStyle w:val="Heading2"/>
        <w:pBdr>
          <w:bottom w:val="none" w:sz="0" w:space="0" w:color="auto"/>
        </w:pBdr>
        <w:spacing w:before="0"/>
        <w:rPr>
          <w:color w:val="auto"/>
          <w:lang w:val="en-US"/>
        </w:rPr>
      </w:pPr>
    </w:p>
    <w:p w:rsidR="00BF5653" w:rsidRPr="00E04156" w:rsidRDefault="00BF5653" w:rsidP="00E04156">
      <w:pPr>
        <w:pStyle w:val="Heading2"/>
        <w:pBdr>
          <w:bottom w:val="none" w:sz="0" w:space="0" w:color="auto"/>
        </w:pBdr>
        <w:spacing w:before="0"/>
        <w:jc w:val="left"/>
        <w:rPr>
          <w:color w:val="auto"/>
          <w:lang w:val="en-US"/>
        </w:rPr>
      </w:pPr>
    </w:p>
    <w:p w:rsidR="00672DE7" w:rsidRDefault="00672DE7" w:rsidP="00672DE7">
      <w:pPr>
        <w:pStyle w:val="Heading2"/>
        <w:pBdr>
          <w:bottom w:val="none" w:sz="0" w:space="0" w:color="auto"/>
        </w:pBdr>
        <w:spacing w:before="0"/>
        <w:jc w:val="left"/>
        <w:rPr>
          <w:color w:val="auto"/>
          <w:lang w:val="en-US"/>
        </w:rPr>
      </w:pPr>
      <w:bookmarkStart w:id="25" w:name="_Toc318638256"/>
    </w:p>
    <w:p w:rsidR="00672DE7" w:rsidRDefault="00672DE7" w:rsidP="00672DE7">
      <w:pPr>
        <w:pStyle w:val="Heading2"/>
        <w:pBdr>
          <w:bottom w:val="none" w:sz="0" w:space="0" w:color="auto"/>
        </w:pBdr>
        <w:spacing w:before="0"/>
        <w:jc w:val="left"/>
        <w:rPr>
          <w:color w:val="auto"/>
          <w:lang w:val="en-US"/>
        </w:rPr>
      </w:pPr>
    </w:p>
    <w:p w:rsidR="00672DE7" w:rsidRDefault="00672DE7" w:rsidP="00672DE7">
      <w:pPr>
        <w:pStyle w:val="Heading2"/>
        <w:pBdr>
          <w:bottom w:val="none" w:sz="0" w:space="0" w:color="auto"/>
        </w:pBdr>
        <w:spacing w:before="0"/>
        <w:jc w:val="left"/>
        <w:rPr>
          <w:color w:val="auto"/>
          <w:lang w:val="en-US"/>
        </w:rPr>
      </w:pPr>
    </w:p>
    <w:p w:rsidR="00AA2EE8" w:rsidRPr="00672DE7" w:rsidRDefault="00AA2EE8" w:rsidP="00672DE7">
      <w:pPr>
        <w:pStyle w:val="Heading2"/>
        <w:pBdr>
          <w:bottom w:val="none" w:sz="0" w:space="0" w:color="auto"/>
        </w:pBdr>
        <w:spacing w:before="0"/>
        <w:jc w:val="left"/>
        <w:rPr>
          <w:color w:val="auto"/>
          <w:lang w:val="en-US"/>
        </w:rPr>
      </w:pPr>
    </w:p>
    <w:tbl>
      <w:tblPr>
        <w:tblW w:w="7755" w:type="dxa"/>
        <w:tblInd w:w="7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73"/>
        <w:gridCol w:w="2451"/>
        <w:gridCol w:w="4531"/>
      </w:tblGrid>
      <w:tr w:rsidR="008E6A09" w:rsidRPr="008E6A09" w:rsidTr="00FA2FA0">
        <w:trPr>
          <w:trHeight w:val="226"/>
        </w:trPr>
        <w:tc>
          <w:tcPr>
            <w:tcW w:w="773" w:type="dxa"/>
            <w:tcBorders>
              <w:top w:val="single" w:sz="8" w:space="0" w:color="4F81BD"/>
              <w:left w:val="single" w:sz="8" w:space="0" w:color="4F81BD"/>
              <w:bottom w:val="single" w:sz="18" w:space="0" w:color="4F81BD"/>
              <w:right w:val="single" w:sz="8" w:space="0" w:color="4F81BD"/>
            </w:tcBorders>
            <w:noWrap/>
            <w:hideMark/>
          </w:tcPr>
          <w:p w:rsidR="008E6A09" w:rsidRPr="008E6A09" w:rsidRDefault="008E6A09" w:rsidP="00055DFB">
            <w:pPr>
              <w:spacing w:after="0" w:line="240" w:lineRule="auto"/>
              <w:rPr>
                <w:rFonts w:ascii="MS Sans Serif" w:hAnsi="MS Sans Serif" w:cs="Calibri"/>
                <w:b/>
                <w:bCs/>
                <w:sz w:val="20"/>
                <w:szCs w:val="20"/>
              </w:rPr>
            </w:pPr>
            <w:r w:rsidRPr="008E6A09">
              <w:rPr>
                <w:rFonts w:ascii="MS Sans Serif" w:hAnsi="MS Sans Serif" w:cs="Calibri"/>
                <w:b/>
                <w:bCs/>
                <w:sz w:val="20"/>
                <w:szCs w:val="20"/>
              </w:rPr>
              <w:t xml:space="preserve">Zip </w:t>
            </w:r>
          </w:p>
        </w:tc>
        <w:tc>
          <w:tcPr>
            <w:tcW w:w="2451" w:type="dxa"/>
            <w:tcBorders>
              <w:top w:val="single" w:sz="8" w:space="0" w:color="4F81BD"/>
              <w:left w:val="single" w:sz="8" w:space="0" w:color="4F81BD"/>
              <w:bottom w:val="single" w:sz="18" w:space="0" w:color="4F81BD"/>
              <w:right w:val="single" w:sz="8" w:space="0" w:color="4F81BD"/>
            </w:tcBorders>
            <w:noWrap/>
            <w:hideMark/>
          </w:tcPr>
          <w:p w:rsidR="008E6A09" w:rsidRPr="008E6A09" w:rsidRDefault="008E6A09" w:rsidP="00055DFB">
            <w:pPr>
              <w:spacing w:after="0" w:line="240" w:lineRule="auto"/>
              <w:rPr>
                <w:rFonts w:ascii="MS Sans Serif" w:hAnsi="MS Sans Serif" w:cs="Calibri"/>
                <w:b/>
                <w:bCs/>
                <w:sz w:val="20"/>
                <w:szCs w:val="20"/>
              </w:rPr>
            </w:pPr>
            <w:r w:rsidRPr="008E6A09">
              <w:rPr>
                <w:rFonts w:ascii="MS Sans Serif" w:hAnsi="MS Sans Serif" w:cs="Calibri"/>
                <w:b/>
                <w:bCs/>
                <w:sz w:val="20"/>
                <w:szCs w:val="20"/>
              </w:rPr>
              <w:t>City</w:t>
            </w:r>
          </w:p>
        </w:tc>
        <w:tc>
          <w:tcPr>
            <w:tcW w:w="4531" w:type="dxa"/>
            <w:tcBorders>
              <w:top w:val="single" w:sz="8" w:space="0" w:color="4F81BD"/>
              <w:left w:val="single" w:sz="8" w:space="0" w:color="4F81BD"/>
              <w:bottom w:val="single" w:sz="18" w:space="0" w:color="4F81BD"/>
              <w:right w:val="single" w:sz="8" w:space="0" w:color="4F81BD"/>
            </w:tcBorders>
            <w:noWrap/>
            <w:hideMark/>
          </w:tcPr>
          <w:p w:rsidR="008E6A09" w:rsidRPr="008E6A09" w:rsidRDefault="008E6A09" w:rsidP="00055DFB">
            <w:pPr>
              <w:spacing w:after="0" w:line="240" w:lineRule="auto"/>
              <w:rPr>
                <w:rFonts w:ascii="MS Sans Serif" w:hAnsi="MS Sans Serif" w:cs="Calibri"/>
                <w:b/>
                <w:bCs/>
                <w:sz w:val="20"/>
                <w:szCs w:val="20"/>
              </w:rPr>
            </w:pPr>
            <w:r w:rsidRPr="008E6A09">
              <w:rPr>
                <w:rFonts w:ascii="MS Sans Serif" w:hAnsi="MS Sans Serif" w:cs="Calibri"/>
                <w:b/>
                <w:bCs/>
                <w:sz w:val="20"/>
                <w:szCs w:val="20"/>
              </w:rPr>
              <w:t xml:space="preserve">County </w:t>
            </w:r>
          </w:p>
        </w:tc>
      </w:tr>
      <w:tr w:rsidR="00ED0D15" w:rsidRPr="008E6A09" w:rsidTr="00FA2FA0">
        <w:trPr>
          <w:trHeight w:val="226"/>
        </w:trPr>
        <w:tc>
          <w:tcPr>
            <w:tcW w:w="773"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0D15" w:rsidRPr="008E6A09" w:rsidRDefault="00055DFB" w:rsidP="00055DFB">
            <w:pPr>
              <w:spacing w:after="0" w:line="240" w:lineRule="auto"/>
              <w:rPr>
                <w:rFonts w:ascii="MS Sans Serif" w:hAnsi="MS Sans Serif" w:cs="Calibri"/>
                <w:b/>
                <w:bCs/>
                <w:sz w:val="20"/>
                <w:szCs w:val="20"/>
              </w:rPr>
            </w:pPr>
            <w:r>
              <w:rPr>
                <w:rFonts w:ascii="MS Sans Serif" w:hAnsi="MS Sans Serif" w:cs="Calibri"/>
                <w:b/>
                <w:bCs/>
                <w:sz w:val="20"/>
                <w:szCs w:val="20"/>
              </w:rPr>
              <w:t>64630</w:t>
            </w:r>
          </w:p>
        </w:tc>
        <w:tc>
          <w:tcPr>
            <w:tcW w:w="245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0D15" w:rsidRPr="008E6A09" w:rsidRDefault="00055DFB" w:rsidP="00055DFB">
            <w:pPr>
              <w:spacing w:after="0" w:line="240" w:lineRule="auto"/>
              <w:rPr>
                <w:rFonts w:ascii="MS Sans Serif" w:hAnsi="MS Sans Serif" w:cs="Calibri"/>
                <w:sz w:val="20"/>
                <w:szCs w:val="20"/>
              </w:rPr>
            </w:pPr>
            <w:r>
              <w:rPr>
                <w:rFonts w:ascii="MS Sans Serif" w:hAnsi="MS Sans Serif" w:cs="Calibri"/>
                <w:sz w:val="20"/>
                <w:szCs w:val="20"/>
              </w:rPr>
              <w:t xml:space="preserve">Browning </w:t>
            </w:r>
          </w:p>
        </w:tc>
        <w:tc>
          <w:tcPr>
            <w:tcW w:w="453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0D15" w:rsidRPr="008E6A09" w:rsidRDefault="00ED0D15" w:rsidP="00055DFB">
            <w:pPr>
              <w:spacing w:after="0" w:line="240" w:lineRule="auto"/>
              <w:rPr>
                <w:rFonts w:ascii="MS Sans Serif" w:hAnsi="MS Sans Serif" w:cs="Calibri"/>
                <w:sz w:val="20"/>
                <w:szCs w:val="20"/>
              </w:rPr>
            </w:pPr>
            <w:r w:rsidRPr="008E6A09">
              <w:rPr>
                <w:rFonts w:ascii="MS Sans Serif" w:hAnsi="MS Sans Serif" w:cs="Calibri"/>
                <w:sz w:val="20"/>
                <w:szCs w:val="20"/>
              </w:rPr>
              <w:t>LI</w:t>
            </w:r>
            <w:r w:rsidR="00055DFB">
              <w:rPr>
                <w:rFonts w:ascii="MS Sans Serif" w:hAnsi="MS Sans Serif" w:cs="Calibri"/>
                <w:sz w:val="20"/>
                <w:szCs w:val="20"/>
              </w:rPr>
              <w:t>NN</w:t>
            </w:r>
            <w:r w:rsidRPr="008E6A09">
              <w:rPr>
                <w:rFonts w:ascii="MS Sans Serif" w:hAnsi="MS Sans Serif" w:cs="Calibri"/>
                <w:sz w:val="20"/>
                <w:szCs w:val="20"/>
              </w:rPr>
              <w:t>, MO</w:t>
            </w:r>
          </w:p>
        </w:tc>
      </w:tr>
      <w:tr w:rsidR="00ED0D15" w:rsidRPr="008E6A09" w:rsidTr="00FA2FA0">
        <w:trPr>
          <w:trHeight w:val="226"/>
        </w:trPr>
        <w:tc>
          <w:tcPr>
            <w:tcW w:w="773" w:type="dxa"/>
            <w:tcBorders>
              <w:top w:val="single" w:sz="8" w:space="0" w:color="4F81BD"/>
              <w:left w:val="single" w:sz="8" w:space="0" w:color="4F81BD"/>
              <w:bottom w:val="single" w:sz="8" w:space="0" w:color="4F81BD"/>
              <w:right w:val="single" w:sz="8" w:space="0" w:color="4F81BD"/>
            </w:tcBorders>
            <w:noWrap/>
            <w:hideMark/>
          </w:tcPr>
          <w:p w:rsidR="00ED0D15" w:rsidRPr="008E6A09" w:rsidRDefault="00055DFB" w:rsidP="00055DFB">
            <w:pPr>
              <w:spacing w:after="0" w:line="240" w:lineRule="auto"/>
              <w:rPr>
                <w:rFonts w:ascii="MS Sans Serif" w:hAnsi="MS Sans Serif" w:cs="Calibri"/>
                <w:b/>
                <w:bCs/>
                <w:sz w:val="20"/>
                <w:szCs w:val="20"/>
              </w:rPr>
            </w:pPr>
            <w:r>
              <w:rPr>
                <w:rFonts w:ascii="MS Sans Serif" w:hAnsi="MS Sans Serif" w:cs="Calibri"/>
                <w:b/>
                <w:bCs/>
                <w:sz w:val="20"/>
                <w:szCs w:val="20"/>
              </w:rPr>
              <w:t>64674</w:t>
            </w:r>
          </w:p>
        </w:tc>
        <w:tc>
          <w:tcPr>
            <w:tcW w:w="2451" w:type="dxa"/>
            <w:tcBorders>
              <w:top w:val="single" w:sz="8" w:space="0" w:color="4F81BD"/>
              <w:left w:val="single" w:sz="8" w:space="0" w:color="4F81BD"/>
              <w:bottom w:val="single" w:sz="8" w:space="0" w:color="4F81BD"/>
              <w:right w:val="single" w:sz="8" w:space="0" w:color="4F81BD"/>
            </w:tcBorders>
            <w:noWrap/>
            <w:hideMark/>
          </w:tcPr>
          <w:p w:rsidR="00ED0D15" w:rsidRPr="008E6A09" w:rsidRDefault="00055DFB" w:rsidP="00055DFB">
            <w:pPr>
              <w:spacing w:after="0" w:line="240" w:lineRule="auto"/>
              <w:rPr>
                <w:rFonts w:ascii="MS Sans Serif" w:hAnsi="MS Sans Serif" w:cs="Calibri"/>
                <w:sz w:val="20"/>
                <w:szCs w:val="20"/>
              </w:rPr>
            </w:pPr>
            <w:r>
              <w:rPr>
                <w:rFonts w:ascii="MS Sans Serif" w:hAnsi="MS Sans Serif" w:cs="Calibri"/>
                <w:sz w:val="20"/>
                <w:szCs w:val="20"/>
              </w:rPr>
              <w:t>Purdin</w:t>
            </w:r>
          </w:p>
        </w:tc>
        <w:tc>
          <w:tcPr>
            <w:tcW w:w="4531" w:type="dxa"/>
            <w:tcBorders>
              <w:top w:val="single" w:sz="8" w:space="0" w:color="4F81BD"/>
              <w:left w:val="single" w:sz="8" w:space="0" w:color="4F81BD"/>
              <w:bottom w:val="single" w:sz="8" w:space="0" w:color="4F81BD"/>
              <w:right w:val="single" w:sz="8" w:space="0" w:color="4F81BD"/>
            </w:tcBorders>
            <w:noWrap/>
            <w:hideMark/>
          </w:tcPr>
          <w:p w:rsidR="00ED0D15" w:rsidRPr="008E6A09" w:rsidRDefault="00ED0D15" w:rsidP="00055DFB">
            <w:pPr>
              <w:spacing w:after="0" w:line="240" w:lineRule="auto"/>
              <w:rPr>
                <w:rFonts w:ascii="MS Sans Serif" w:hAnsi="MS Sans Serif" w:cs="Calibri"/>
                <w:sz w:val="20"/>
                <w:szCs w:val="20"/>
              </w:rPr>
            </w:pPr>
            <w:r w:rsidRPr="008E6A09">
              <w:rPr>
                <w:rFonts w:ascii="MS Sans Serif" w:hAnsi="MS Sans Serif" w:cs="Calibri"/>
                <w:sz w:val="20"/>
                <w:szCs w:val="20"/>
              </w:rPr>
              <w:t>LI</w:t>
            </w:r>
            <w:r w:rsidR="00055DFB">
              <w:rPr>
                <w:rFonts w:ascii="MS Sans Serif" w:hAnsi="MS Sans Serif" w:cs="Calibri"/>
                <w:sz w:val="20"/>
                <w:szCs w:val="20"/>
              </w:rPr>
              <w:t>NN</w:t>
            </w:r>
            <w:r w:rsidRPr="008E6A09">
              <w:rPr>
                <w:rFonts w:ascii="MS Sans Serif" w:hAnsi="MS Sans Serif" w:cs="Calibri"/>
                <w:sz w:val="20"/>
                <w:szCs w:val="20"/>
              </w:rPr>
              <w:t>, MO</w:t>
            </w:r>
          </w:p>
        </w:tc>
      </w:tr>
      <w:tr w:rsidR="00ED0D15" w:rsidRPr="008E6A09" w:rsidTr="00FA2FA0">
        <w:trPr>
          <w:trHeight w:val="226"/>
        </w:trPr>
        <w:tc>
          <w:tcPr>
            <w:tcW w:w="773"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0D15" w:rsidRPr="008E6A09" w:rsidRDefault="00055DFB" w:rsidP="00055DFB">
            <w:pPr>
              <w:spacing w:after="0" w:line="240" w:lineRule="auto"/>
              <w:rPr>
                <w:rFonts w:ascii="MS Sans Serif" w:hAnsi="MS Sans Serif" w:cs="Calibri"/>
                <w:b/>
                <w:bCs/>
                <w:sz w:val="20"/>
                <w:szCs w:val="20"/>
              </w:rPr>
            </w:pPr>
            <w:r>
              <w:rPr>
                <w:rFonts w:ascii="MS Sans Serif" w:hAnsi="MS Sans Serif" w:cs="Calibri"/>
                <w:b/>
                <w:bCs/>
                <w:sz w:val="20"/>
                <w:szCs w:val="20"/>
              </w:rPr>
              <w:t>64653</w:t>
            </w:r>
          </w:p>
        </w:tc>
        <w:tc>
          <w:tcPr>
            <w:tcW w:w="245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0D15" w:rsidRPr="008E6A09" w:rsidRDefault="00055DFB" w:rsidP="00055DFB">
            <w:pPr>
              <w:spacing w:after="0" w:line="240" w:lineRule="auto"/>
              <w:rPr>
                <w:rFonts w:ascii="MS Sans Serif" w:hAnsi="MS Sans Serif" w:cs="Calibri"/>
                <w:sz w:val="20"/>
                <w:szCs w:val="20"/>
              </w:rPr>
            </w:pPr>
            <w:r>
              <w:rPr>
                <w:rFonts w:ascii="MS Sans Serif" w:hAnsi="MS Sans Serif" w:cs="Calibri"/>
                <w:sz w:val="20"/>
                <w:szCs w:val="20"/>
              </w:rPr>
              <w:t>Linneus</w:t>
            </w:r>
          </w:p>
        </w:tc>
        <w:tc>
          <w:tcPr>
            <w:tcW w:w="453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0D15" w:rsidRPr="008E6A09" w:rsidRDefault="00ED0D15" w:rsidP="00055DFB">
            <w:pPr>
              <w:spacing w:after="0" w:line="240" w:lineRule="auto"/>
              <w:rPr>
                <w:rFonts w:ascii="MS Sans Serif" w:hAnsi="MS Sans Serif" w:cs="Calibri"/>
                <w:sz w:val="20"/>
                <w:szCs w:val="20"/>
              </w:rPr>
            </w:pPr>
            <w:r w:rsidRPr="008E6A09">
              <w:rPr>
                <w:rFonts w:ascii="MS Sans Serif" w:hAnsi="MS Sans Serif" w:cs="Calibri"/>
                <w:sz w:val="20"/>
                <w:szCs w:val="20"/>
              </w:rPr>
              <w:t>LI</w:t>
            </w:r>
            <w:r w:rsidR="00055DFB">
              <w:rPr>
                <w:rFonts w:ascii="MS Sans Serif" w:hAnsi="MS Sans Serif" w:cs="Calibri"/>
                <w:sz w:val="20"/>
                <w:szCs w:val="20"/>
              </w:rPr>
              <w:t>NN</w:t>
            </w:r>
            <w:r w:rsidRPr="008E6A09">
              <w:rPr>
                <w:rFonts w:ascii="MS Sans Serif" w:hAnsi="MS Sans Serif" w:cs="Calibri"/>
                <w:sz w:val="20"/>
                <w:szCs w:val="20"/>
              </w:rPr>
              <w:t>, MO</w:t>
            </w:r>
          </w:p>
        </w:tc>
      </w:tr>
      <w:tr w:rsidR="00ED0D15" w:rsidRPr="008E6A09" w:rsidTr="00FA2FA0">
        <w:trPr>
          <w:trHeight w:val="226"/>
        </w:trPr>
        <w:tc>
          <w:tcPr>
            <w:tcW w:w="773" w:type="dxa"/>
            <w:tcBorders>
              <w:top w:val="single" w:sz="8" w:space="0" w:color="4F81BD"/>
              <w:left w:val="single" w:sz="8" w:space="0" w:color="4F81BD"/>
              <w:bottom w:val="single" w:sz="8" w:space="0" w:color="4F81BD"/>
              <w:right w:val="single" w:sz="8" w:space="0" w:color="4F81BD"/>
            </w:tcBorders>
            <w:noWrap/>
            <w:hideMark/>
          </w:tcPr>
          <w:p w:rsidR="00ED0D15" w:rsidRPr="008E6A09" w:rsidRDefault="00055DFB" w:rsidP="00055DFB">
            <w:pPr>
              <w:spacing w:after="0" w:line="240" w:lineRule="auto"/>
              <w:rPr>
                <w:rFonts w:ascii="MS Sans Serif" w:hAnsi="MS Sans Serif" w:cs="Calibri"/>
                <w:b/>
                <w:bCs/>
                <w:sz w:val="20"/>
                <w:szCs w:val="20"/>
              </w:rPr>
            </w:pPr>
            <w:r>
              <w:rPr>
                <w:rFonts w:ascii="MS Sans Serif" w:hAnsi="MS Sans Serif" w:cs="Calibri"/>
                <w:b/>
                <w:bCs/>
                <w:sz w:val="20"/>
                <w:szCs w:val="20"/>
              </w:rPr>
              <w:t>64659</w:t>
            </w:r>
          </w:p>
        </w:tc>
        <w:tc>
          <w:tcPr>
            <w:tcW w:w="2451" w:type="dxa"/>
            <w:tcBorders>
              <w:top w:val="single" w:sz="8" w:space="0" w:color="4F81BD"/>
              <w:left w:val="single" w:sz="8" w:space="0" w:color="4F81BD"/>
              <w:bottom w:val="single" w:sz="8" w:space="0" w:color="4F81BD"/>
              <w:right w:val="single" w:sz="8" w:space="0" w:color="4F81BD"/>
            </w:tcBorders>
            <w:noWrap/>
            <w:hideMark/>
          </w:tcPr>
          <w:p w:rsidR="00ED0D15" w:rsidRPr="008E6A09" w:rsidRDefault="00055DFB" w:rsidP="00055DFB">
            <w:pPr>
              <w:spacing w:after="0" w:line="240" w:lineRule="auto"/>
              <w:rPr>
                <w:rFonts w:ascii="MS Sans Serif" w:hAnsi="MS Sans Serif" w:cs="Calibri"/>
                <w:sz w:val="20"/>
                <w:szCs w:val="20"/>
              </w:rPr>
            </w:pPr>
            <w:r>
              <w:rPr>
                <w:rFonts w:ascii="MS Sans Serif" w:hAnsi="MS Sans Serif" w:cs="Calibri"/>
                <w:sz w:val="20"/>
                <w:szCs w:val="20"/>
              </w:rPr>
              <w:t>Meadville</w:t>
            </w:r>
          </w:p>
        </w:tc>
        <w:tc>
          <w:tcPr>
            <w:tcW w:w="4531" w:type="dxa"/>
            <w:tcBorders>
              <w:top w:val="single" w:sz="8" w:space="0" w:color="4F81BD"/>
              <w:left w:val="single" w:sz="8" w:space="0" w:color="4F81BD"/>
              <w:bottom w:val="single" w:sz="8" w:space="0" w:color="4F81BD"/>
              <w:right w:val="single" w:sz="8" w:space="0" w:color="4F81BD"/>
            </w:tcBorders>
            <w:noWrap/>
            <w:hideMark/>
          </w:tcPr>
          <w:p w:rsidR="00ED0D15" w:rsidRPr="008E6A09" w:rsidRDefault="00ED0D15" w:rsidP="00055DFB">
            <w:pPr>
              <w:spacing w:after="0" w:line="240" w:lineRule="auto"/>
              <w:rPr>
                <w:rFonts w:ascii="MS Sans Serif" w:hAnsi="MS Sans Serif" w:cs="Calibri"/>
                <w:sz w:val="20"/>
                <w:szCs w:val="20"/>
              </w:rPr>
            </w:pPr>
            <w:r w:rsidRPr="008E6A09">
              <w:rPr>
                <w:rFonts w:ascii="MS Sans Serif" w:hAnsi="MS Sans Serif" w:cs="Calibri"/>
                <w:sz w:val="20"/>
                <w:szCs w:val="20"/>
              </w:rPr>
              <w:t>LI</w:t>
            </w:r>
            <w:r w:rsidR="00055DFB">
              <w:rPr>
                <w:rFonts w:ascii="MS Sans Serif" w:hAnsi="MS Sans Serif" w:cs="Calibri"/>
                <w:sz w:val="20"/>
                <w:szCs w:val="20"/>
              </w:rPr>
              <w:t>NN</w:t>
            </w:r>
            <w:r w:rsidRPr="008E6A09">
              <w:rPr>
                <w:rFonts w:ascii="MS Sans Serif" w:hAnsi="MS Sans Serif" w:cs="Calibri"/>
                <w:sz w:val="20"/>
                <w:szCs w:val="20"/>
              </w:rPr>
              <w:t>, MO</w:t>
            </w:r>
          </w:p>
        </w:tc>
      </w:tr>
      <w:tr w:rsidR="00ED0D15" w:rsidRPr="008E6A09" w:rsidTr="00FA2FA0">
        <w:trPr>
          <w:trHeight w:val="226"/>
        </w:trPr>
        <w:tc>
          <w:tcPr>
            <w:tcW w:w="773"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0D15" w:rsidRPr="008E6A09" w:rsidRDefault="00055DFB" w:rsidP="00055DFB">
            <w:pPr>
              <w:spacing w:after="0" w:line="240" w:lineRule="auto"/>
              <w:rPr>
                <w:rFonts w:ascii="MS Sans Serif" w:hAnsi="MS Sans Serif" w:cs="Calibri"/>
                <w:b/>
                <w:bCs/>
                <w:sz w:val="20"/>
                <w:szCs w:val="20"/>
              </w:rPr>
            </w:pPr>
            <w:r>
              <w:rPr>
                <w:rFonts w:ascii="MS Sans Serif" w:hAnsi="MS Sans Serif" w:cs="Calibri"/>
                <w:b/>
                <w:bCs/>
                <w:sz w:val="20"/>
                <w:szCs w:val="20"/>
              </w:rPr>
              <w:t>64651</w:t>
            </w:r>
          </w:p>
        </w:tc>
        <w:tc>
          <w:tcPr>
            <w:tcW w:w="245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0D15" w:rsidRPr="008E6A09" w:rsidRDefault="00055DFB" w:rsidP="00055DFB">
            <w:pPr>
              <w:spacing w:after="0" w:line="240" w:lineRule="auto"/>
              <w:rPr>
                <w:rFonts w:ascii="MS Sans Serif" w:hAnsi="MS Sans Serif" w:cs="Calibri"/>
                <w:sz w:val="20"/>
                <w:szCs w:val="20"/>
              </w:rPr>
            </w:pPr>
            <w:r>
              <w:rPr>
                <w:rFonts w:ascii="MS Sans Serif" w:hAnsi="MS Sans Serif" w:cs="Calibri"/>
                <w:sz w:val="20"/>
                <w:szCs w:val="20"/>
              </w:rPr>
              <w:t>Laclede</w:t>
            </w:r>
          </w:p>
        </w:tc>
        <w:tc>
          <w:tcPr>
            <w:tcW w:w="453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0D15" w:rsidRPr="008E6A09" w:rsidRDefault="00ED0D15" w:rsidP="00055DFB">
            <w:pPr>
              <w:spacing w:after="0" w:line="240" w:lineRule="auto"/>
              <w:rPr>
                <w:rFonts w:ascii="MS Sans Serif" w:hAnsi="MS Sans Serif" w:cs="Calibri"/>
                <w:sz w:val="20"/>
                <w:szCs w:val="20"/>
              </w:rPr>
            </w:pPr>
            <w:r w:rsidRPr="008E6A09">
              <w:rPr>
                <w:rFonts w:ascii="MS Sans Serif" w:hAnsi="MS Sans Serif" w:cs="Calibri"/>
                <w:sz w:val="20"/>
                <w:szCs w:val="20"/>
              </w:rPr>
              <w:t>LI</w:t>
            </w:r>
            <w:r w:rsidR="00055DFB">
              <w:rPr>
                <w:rFonts w:ascii="MS Sans Serif" w:hAnsi="MS Sans Serif" w:cs="Calibri"/>
                <w:sz w:val="20"/>
                <w:szCs w:val="20"/>
              </w:rPr>
              <w:t>NN</w:t>
            </w:r>
            <w:r w:rsidRPr="008E6A09">
              <w:rPr>
                <w:rFonts w:ascii="MS Sans Serif" w:hAnsi="MS Sans Serif" w:cs="Calibri"/>
                <w:sz w:val="20"/>
                <w:szCs w:val="20"/>
              </w:rPr>
              <w:t>, MO</w:t>
            </w:r>
          </w:p>
        </w:tc>
      </w:tr>
      <w:tr w:rsidR="00ED0D15" w:rsidRPr="008E6A09" w:rsidTr="00FA2FA0">
        <w:trPr>
          <w:trHeight w:val="226"/>
        </w:trPr>
        <w:tc>
          <w:tcPr>
            <w:tcW w:w="773" w:type="dxa"/>
            <w:tcBorders>
              <w:top w:val="single" w:sz="8" w:space="0" w:color="4F81BD"/>
              <w:left w:val="single" w:sz="8" w:space="0" w:color="4F81BD"/>
              <w:bottom w:val="single" w:sz="4" w:space="0" w:color="auto"/>
              <w:right w:val="single" w:sz="8" w:space="0" w:color="4F81BD"/>
            </w:tcBorders>
            <w:noWrap/>
            <w:hideMark/>
          </w:tcPr>
          <w:p w:rsidR="00ED0D15" w:rsidRPr="008E6A09" w:rsidRDefault="00ED0D15" w:rsidP="00055DFB">
            <w:pPr>
              <w:spacing w:after="0" w:line="240" w:lineRule="auto"/>
              <w:rPr>
                <w:rFonts w:ascii="MS Sans Serif" w:hAnsi="MS Sans Serif" w:cs="Calibri"/>
                <w:b/>
                <w:bCs/>
                <w:sz w:val="20"/>
                <w:szCs w:val="20"/>
              </w:rPr>
            </w:pPr>
            <w:r w:rsidRPr="008E6A09">
              <w:rPr>
                <w:rFonts w:ascii="MS Sans Serif" w:hAnsi="MS Sans Serif" w:cs="Calibri"/>
                <w:b/>
                <w:bCs/>
                <w:sz w:val="20"/>
                <w:szCs w:val="20"/>
              </w:rPr>
              <w:t>64</w:t>
            </w:r>
            <w:r w:rsidR="00055DFB">
              <w:rPr>
                <w:rFonts w:ascii="MS Sans Serif" w:hAnsi="MS Sans Serif" w:cs="Calibri"/>
                <w:b/>
                <w:bCs/>
                <w:sz w:val="20"/>
                <w:szCs w:val="20"/>
              </w:rPr>
              <w:t>628</w:t>
            </w:r>
          </w:p>
        </w:tc>
        <w:tc>
          <w:tcPr>
            <w:tcW w:w="2451" w:type="dxa"/>
            <w:tcBorders>
              <w:top w:val="single" w:sz="8" w:space="0" w:color="4F81BD"/>
              <w:left w:val="single" w:sz="8" w:space="0" w:color="4F81BD"/>
              <w:bottom w:val="single" w:sz="4" w:space="0" w:color="auto"/>
              <w:right w:val="single" w:sz="8" w:space="0" w:color="4F81BD"/>
            </w:tcBorders>
            <w:noWrap/>
            <w:hideMark/>
          </w:tcPr>
          <w:p w:rsidR="00ED0D15" w:rsidRPr="008E6A09" w:rsidRDefault="00055DFB" w:rsidP="00055DFB">
            <w:pPr>
              <w:spacing w:after="0" w:line="240" w:lineRule="auto"/>
              <w:rPr>
                <w:rFonts w:ascii="MS Sans Serif" w:hAnsi="MS Sans Serif" w:cs="Calibri"/>
                <w:sz w:val="20"/>
                <w:szCs w:val="20"/>
              </w:rPr>
            </w:pPr>
            <w:r>
              <w:rPr>
                <w:rFonts w:ascii="MS Sans Serif" w:hAnsi="MS Sans Serif" w:cs="Calibri"/>
                <w:sz w:val="20"/>
                <w:szCs w:val="20"/>
              </w:rPr>
              <w:t>Brookfield</w:t>
            </w:r>
          </w:p>
        </w:tc>
        <w:tc>
          <w:tcPr>
            <w:tcW w:w="4531" w:type="dxa"/>
            <w:tcBorders>
              <w:top w:val="single" w:sz="8" w:space="0" w:color="4F81BD"/>
              <w:left w:val="single" w:sz="8" w:space="0" w:color="4F81BD"/>
              <w:bottom w:val="single" w:sz="4" w:space="0" w:color="auto"/>
              <w:right w:val="single" w:sz="8" w:space="0" w:color="4F81BD"/>
            </w:tcBorders>
            <w:noWrap/>
            <w:hideMark/>
          </w:tcPr>
          <w:p w:rsidR="00ED0D15" w:rsidRPr="008E6A09" w:rsidRDefault="00ED0D15" w:rsidP="00055DFB">
            <w:pPr>
              <w:spacing w:after="0" w:line="240" w:lineRule="auto"/>
              <w:rPr>
                <w:rFonts w:ascii="MS Sans Serif" w:hAnsi="MS Sans Serif" w:cs="Calibri"/>
                <w:sz w:val="20"/>
                <w:szCs w:val="20"/>
              </w:rPr>
            </w:pPr>
            <w:r w:rsidRPr="008E6A09">
              <w:rPr>
                <w:rFonts w:ascii="MS Sans Serif" w:hAnsi="MS Sans Serif" w:cs="Calibri"/>
                <w:sz w:val="20"/>
                <w:szCs w:val="20"/>
              </w:rPr>
              <w:t>LI</w:t>
            </w:r>
            <w:r w:rsidR="00055DFB">
              <w:rPr>
                <w:rFonts w:ascii="MS Sans Serif" w:hAnsi="MS Sans Serif" w:cs="Calibri"/>
                <w:sz w:val="20"/>
                <w:szCs w:val="20"/>
              </w:rPr>
              <w:t>NN</w:t>
            </w:r>
            <w:r w:rsidRPr="008E6A09">
              <w:rPr>
                <w:rFonts w:ascii="MS Sans Serif" w:hAnsi="MS Sans Serif" w:cs="Calibri"/>
                <w:sz w:val="20"/>
                <w:szCs w:val="20"/>
              </w:rPr>
              <w:t>, MO</w:t>
            </w:r>
          </w:p>
        </w:tc>
      </w:tr>
      <w:tr w:rsidR="00055DFB" w:rsidRPr="008E6A09" w:rsidTr="00FA2FA0">
        <w:trPr>
          <w:trHeight w:val="347"/>
        </w:trPr>
        <w:tc>
          <w:tcPr>
            <w:tcW w:w="773" w:type="dxa"/>
            <w:tcBorders>
              <w:top w:val="single" w:sz="4" w:space="0" w:color="auto"/>
              <w:left w:val="single" w:sz="8" w:space="0" w:color="4F81BD"/>
              <w:bottom w:val="single" w:sz="4" w:space="0" w:color="auto"/>
              <w:right w:val="single" w:sz="8" w:space="0" w:color="4F81BD"/>
            </w:tcBorders>
            <w:shd w:val="clear" w:color="auto" w:fill="D3DFEE"/>
            <w:noWrap/>
            <w:hideMark/>
          </w:tcPr>
          <w:p w:rsidR="00055DFB" w:rsidRPr="008E6A09" w:rsidRDefault="00055DFB" w:rsidP="00055DFB">
            <w:pPr>
              <w:spacing w:after="0" w:line="240" w:lineRule="auto"/>
              <w:rPr>
                <w:rFonts w:ascii="MS Sans Serif" w:hAnsi="MS Sans Serif" w:cs="Calibri"/>
                <w:b/>
                <w:bCs/>
                <w:sz w:val="20"/>
                <w:szCs w:val="20"/>
              </w:rPr>
            </w:pPr>
            <w:r w:rsidRPr="008E6A09">
              <w:rPr>
                <w:rFonts w:ascii="MS Sans Serif" w:hAnsi="MS Sans Serif" w:cs="Calibri"/>
                <w:b/>
                <w:bCs/>
                <w:sz w:val="20"/>
                <w:szCs w:val="20"/>
              </w:rPr>
              <w:t>64</w:t>
            </w:r>
            <w:r>
              <w:rPr>
                <w:rFonts w:ascii="MS Sans Serif" w:hAnsi="MS Sans Serif" w:cs="Calibri"/>
                <w:b/>
                <w:bCs/>
                <w:sz w:val="20"/>
                <w:szCs w:val="20"/>
              </w:rPr>
              <w:t>631</w:t>
            </w:r>
          </w:p>
        </w:tc>
        <w:tc>
          <w:tcPr>
            <w:tcW w:w="2451" w:type="dxa"/>
            <w:tcBorders>
              <w:top w:val="single" w:sz="4" w:space="0" w:color="auto"/>
              <w:left w:val="single" w:sz="8" w:space="0" w:color="4F81BD"/>
              <w:bottom w:val="single" w:sz="4" w:space="0" w:color="auto"/>
              <w:right w:val="single" w:sz="8" w:space="0" w:color="4F81BD"/>
            </w:tcBorders>
            <w:shd w:val="clear" w:color="auto" w:fill="D3DFEE"/>
            <w:noWrap/>
            <w:hideMark/>
          </w:tcPr>
          <w:p w:rsidR="00055DFB" w:rsidRPr="008E6A09" w:rsidRDefault="00055DFB" w:rsidP="00055DFB">
            <w:pPr>
              <w:spacing w:after="0" w:line="240" w:lineRule="auto"/>
              <w:rPr>
                <w:rFonts w:ascii="MS Sans Serif" w:hAnsi="MS Sans Serif" w:cs="Calibri"/>
                <w:sz w:val="20"/>
                <w:szCs w:val="20"/>
              </w:rPr>
            </w:pPr>
            <w:r>
              <w:rPr>
                <w:rFonts w:ascii="MS Sans Serif" w:hAnsi="MS Sans Serif" w:cs="Calibri"/>
                <w:sz w:val="20"/>
                <w:szCs w:val="20"/>
              </w:rPr>
              <w:t>Bucklin</w:t>
            </w:r>
          </w:p>
        </w:tc>
        <w:tc>
          <w:tcPr>
            <w:tcW w:w="4531" w:type="dxa"/>
            <w:tcBorders>
              <w:top w:val="single" w:sz="4" w:space="0" w:color="auto"/>
              <w:left w:val="single" w:sz="8" w:space="0" w:color="4F81BD"/>
              <w:bottom w:val="single" w:sz="4" w:space="0" w:color="auto"/>
              <w:right w:val="single" w:sz="8" w:space="0" w:color="4F81BD"/>
            </w:tcBorders>
            <w:shd w:val="clear" w:color="auto" w:fill="D3DFEE"/>
            <w:noWrap/>
            <w:hideMark/>
          </w:tcPr>
          <w:p w:rsidR="00055DFB" w:rsidRPr="008E6A09" w:rsidRDefault="00055DFB" w:rsidP="00055DFB">
            <w:pPr>
              <w:spacing w:after="0" w:line="240" w:lineRule="auto"/>
              <w:rPr>
                <w:rFonts w:ascii="MS Sans Serif" w:hAnsi="MS Sans Serif" w:cs="Calibri"/>
                <w:sz w:val="20"/>
                <w:szCs w:val="20"/>
              </w:rPr>
            </w:pPr>
            <w:r w:rsidRPr="008E6A09">
              <w:rPr>
                <w:rFonts w:ascii="MS Sans Serif" w:hAnsi="MS Sans Serif" w:cs="Calibri"/>
                <w:sz w:val="20"/>
                <w:szCs w:val="20"/>
              </w:rPr>
              <w:t>LI</w:t>
            </w:r>
            <w:r>
              <w:rPr>
                <w:rFonts w:ascii="MS Sans Serif" w:hAnsi="MS Sans Serif" w:cs="Calibri"/>
                <w:sz w:val="20"/>
                <w:szCs w:val="20"/>
              </w:rPr>
              <w:t>NN</w:t>
            </w:r>
            <w:r w:rsidRPr="008E6A09">
              <w:rPr>
                <w:rFonts w:ascii="MS Sans Serif" w:hAnsi="MS Sans Serif" w:cs="Calibri"/>
                <w:sz w:val="20"/>
                <w:szCs w:val="20"/>
              </w:rPr>
              <w:t>, MO</w:t>
            </w:r>
          </w:p>
        </w:tc>
      </w:tr>
      <w:tr w:rsidR="00055DFB" w:rsidRPr="008E6A09" w:rsidTr="00FA2FA0">
        <w:trPr>
          <w:trHeight w:val="260"/>
        </w:trPr>
        <w:tc>
          <w:tcPr>
            <w:tcW w:w="773" w:type="dxa"/>
            <w:tcBorders>
              <w:top w:val="single" w:sz="4" w:space="0" w:color="auto"/>
              <w:left w:val="single" w:sz="8" w:space="0" w:color="4F81BD"/>
              <w:bottom w:val="single" w:sz="4" w:space="0" w:color="auto"/>
              <w:right w:val="single" w:sz="8" w:space="0" w:color="4F81BD"/>
            </w:tcBorders>
            <w:shd w:val="clear" w:color="auto" w:fill="auto"/>
            <w:noWrap/>
          </w:tcPr>
          <w:p w:rsidR="00055DFB" w:rsidRPr="008E6A09" w:rsidRDefault="00055DFB" w:rsidP="00055DFB">
            <w:pPr>
              <w:rPr>
                <w:rFonts w:ascii="MS Sans Serif" w:hAnsi="MS Sans Serif" w:cs="Calibri"/>
                <w:b/>
                <w:bCs/>
                <w:sz w:val="20"/>
                <w:szCs w:val="20"/>
              </w:rPr>
            </w:pPr>
            <w:r>
              <w:rPr>
                <w:rFonts w:ascii="MS Sans Serif" w:hAnsi="MS Sans Serif" w:cs="Calibri"/>
                <w:b/>
                <w:bCs/>
                <w:sz w:val="20"/>
                <w:szCs w:val="20"/>
              </w:rPr>
              <w:t>64658</w:t>
            </w:r>
          </w:p>
        </w:tc>
        <w:tc>
          <w:tcPr>
            <w:tcW w:w="2451" w:type="dxa"/>
            <w:tcBorders>
              <w:top w:val="single" w:sz="4" w:space="0" w:color="auto"/>
              <w:left w:val="single" w:sz="8" w:space="0" w:color="4F81BD"/>
              <w:bottom w:val="single" w:sz="4" w:space="0" w:color="auto"/>
              <w:right w:val="single" w:sz="8" w:space="0" w:color="4F81BD"/>
            </w:tcBorders>
            <w:shd w:val="clear" w:color="auto" w:fill="auto"/>
            <w:noWrap/>
          </w:tcPr>
          <w:p w:rsidR="00055DFB" w:rsidRPr="008E6A09" w:rsidRDefault="00055DFB" w:rsidP="00055DFB">
            <w:pPr>
              <w:rPr>
                <w:rFonts w:ascii="MS Sans Serif" w:hAnsi="MS Sans Serif" w:cs="Calibri"/>
                <w:sz w:val="20"/>
                <w:szCs w:val="20"/>
              </w:rPr>
            </w:pPr>
            <w:r>
              <w:rPr>
                <w:rFonts w:ascii="MS Sans Serif" w:hAnsi="MS Sans Serif" w:cs="Calibri"/>
                <w:sz w:val="20"/>
                <w:szCs w:val="20"/>
              </w:rPr>
              <w:t xml:space="preserve">Marceline </w:t>
            </w:r>
          </w:p>
        </w:tc>
        <w:tc>
          <w:tcPr>
            <w:tcW w:w="4531" w:type="dxa"/>
            <w:tcBorders>
              <w:top w:val="single" w:sz="4" w:space="0" w:color="auto"/>
              <w:left w:val="single" w:sz="8" w:space="0" w:color="4F81BD"/>
              <w:bottom w:val="single" w:sz="4" w:space="0" w:color="auto"/>
              <w:right w:val="single" w:sz="8" w:space="0" w:color="4F81BD"/>
            </w:tcBorders>
            <w:shd w:val="clear" w:color="auto" w:fill="auto"/>
            <w:noWrap/>
          </w:tcPr>
          <w:p w:rsidR="00055DFB" w:rsidRPr="008E6A09" w:rsidRDefault="00055DFB" w:rsidP="00055DFB">
            <w:pPr>
              <w:rPr>
                <w:rFonts w:ascii="MS Sans Serif" w:hAnsi="MS Sans Serif" w:cs="Calibri"/>
                <w:sz w:val="20"/>
                <w:szCs w:val="20"/>
              </w:rPr>
            </w:pPr>
            <w:r>
              <w:rPr>
                <w:rFonts w:ascii="MS Sans Serif" w:hAnsi="MS Sans Serif" w:cs="Calibri"/>
                <w:sz w:val="20"/>
                <w:szCs w:val="20"/>
              </w:rPr>
              <w:t>LINN, MO</w:t>
            </w:r>
          </w:p>
        </w:tc>
      </w:tr>
    </w:tbl>
    <w:p w:rsidR="00BF5653" w:rsidRPr="00074652" w:rsidRDefault="00BF5653" w:rsidP="00BF5653">
      <w:pPr>
        <w:pStyle w:val="Heading2"/>
        <w:spacing w:before="0"/>
        <w:rPr>
          <w:color w:val="auto"/>
        </w:rPr>
      </w:pPr>
      <w:bookmarkStart w:id="26" w:name="_Toc229126446"/>
      <w:r w:rsidRPr="00074652">
        <w:rPr>
          <w:color w:val="auto"/>
        </w:rPr>
        <w:lastRenderedPageBreak/>
        <w:t>Population</w:t>
      </w:r>
      <w:bookmarkEnd w:id="24"/>
      <w:bookmarkEnd w:id="25"/>
      <w:bookmarkEnd w:id="26"/>
    </w:p>
    <w:p w:rsidR="0076017F" w:rsidRPr="00BA552A" w:rsidRDefault="0076017F" w:rsidP="0076017F">
      <w:pPr>
        <w:pStyle w:val="NormalWeb"/>
        <w:spacing w:after="0" w:afterAutospacing="0"/>
        <w:rPr>
          <w:rStyle w:val="arial1"/>
          <w:rFonts w:ascii="Cambria" w:hAnsi="Cambria"/>
          <w:sz w:val="22"/>
          <w:szCs w:val="22"/>
        </w:rPr>
      </w:pPr>
      <w:bookmarkStart w:id="27" w:name="_Toc318638257"/>
      <w:r w:rsidRPr="00BA552A">
        <w:rPr>
          <w:rStyle w:val="arial1"/>
          <w:rFonts w:ascii="Cambria" w:hAnsi="Cambria"/>
          <w:sz w:val="22"/>
          <w:szCs w:val="22"/>
        </w:rPr>
        <w:t xml:space="preserve">Population size, composition, and migration are linked to a host of variables that shift as social and economic conditions evolve.  Linn County population trends reveal </w:t>
      </w:r>
      <w:r w:rsidR="00B84E22" w:rsidRPr="00BA552A">
        <w:rPr>
          <w:rStyle w:val="arial1"/>
          <w:rFonts w:ascii="Cambria" w:hAnsi="Cambria"/>
          <w:sz w:val="22"/>
          <w:szCs w:val="22"/>
        </w:rPr>
        <w:t xml:space="preserve">a </w:t>
      </w:r>
      <w:r w:rsidRPr="00BA552A">
        <w:rPr>
          <w:rStyle w:val="arial1"/>
          <w:rFonts w:ascii="Cambria" w:hAnsi="Cambria"/>
          <w:sz w:val="22"/>
          <w:szCs w:val="22"/>
        </w:rPr>
        <w:t>decrease</w:t>
      </w:r>
      <w:r w:rsidR="00B84E22" w:rsidRPr="00BA552A">
        <w:rPr>
          <w:rStyle w:val="arial1"/>
          <w:rFonts w:ascii="Cambria" w:hAnsi="Cambria"/>
          <w:sz w:val="22"/>
          <w:szCs w:val="22"/>
        </w:rPr>
        <w:t>,</w:t>
      </w:r>
      <w:r w:rsidRPr="00BA552A">
        <w:rPr>
          <w:rStyle w:val="arial1"/>
          <w:rFonts w:ascii="Cambria" w:hAnsi="Cambria"/>
          <w:sz w:val="22"/>
          <w:szCs w:val="22"/>
        </w:rPr>
        <w:t xml:space="preserve"> which is opposite of the national trends and just over half of the percentage increase for the State of Missouri from 2000 to 2010.  </w:t>
      </w:r>
    </w:p>
    <w:p w:rsidR="00BF5653" w:rsidRPr="00074652" w:rsidRDefault="00BF5653" w:rsidP="00BF5653">
      <w:pPr>
        <w:pStyle w:val="Heading3"/>
        <w:rPr>
          <w:color w:val="auto"/>
        </w:rPr>
      </w:pPr>
      <w:bookmarkStart w:id="28" w:name="_Toc229126447"/>
      <w:r w:rsidRPr="00074652">
        <w:rPr>
          <w:color w:val="auto"/>
        </w:rPr>
        <w:t>Populatio</w:t>
      </w:r>
      <w:r w:rsidR="00657D88">
        <w:rPr>
          <w:color w:val="auto"/>
        </w:rPr>
        <w:t>n Change</w:t>
      </w:r>
      <w:r>
        <w:rPr>
          <w:color w:val="auto"/>
        </w:rPr>
        <w:t xml:space="preserve"> – Figure 1.1</w:t>
      </w:r>
      <w:bookmarkEnd w:id="27"/>
      <w:bookmarkEnd w:id="28"/>
    </w:p>
    <w:p w:rsidR="00BF5653" w:rsidRDefault="00FA23ED" w:rsidP="00BF5653">
      <w:pPr>
        <w:pStyle w:val="NormalWeb"/>
        <w:spacing w:before="360" w:beforeAutospacing="0" w:after="360" w:afterAutospacing="0"/>
        <w:jc w:val="center"/>
        <w:rPr>
          <w:rFonts w:ascii="Cambria" w:hAnsi="Cambria"/>
          <w:sz w:val="22"/>
          <w:szCs w:val="22"/>
        </w:rPr>
      </w:pPr>
      <w:r>
        <w:rPr>
          <w:rFonts w:ascii="Cambria" w:hAnsi="Cambria"/>
          <w:noProof/>
          <w:sz w:val="22"/>
          <w:szCs w:val="22"/>
        </w:rPr>
        <w:drawing>
          <wp:anchor distT="10469" distB="15267" distL="126488" distR="132582" simplePos="0" relativeHeight="251646976" behindDoc="1" locked="0" layoutInCell="1" allowOverlap="1">
            <wp:simplePos x="0" y="0"/>
            <wp:positionH relativeFrom="column">
              <wp:posOffset>295398</wp:posOffset>
            </wp:positionH>
            <wp:positionV relativeFrom="paragraph">
              <wp:posOffset>110799</wp:posOffset>
            </wp:positionV>
            <wp:extent cx="5332095" cy="3230245"/>
            <wp:effectExtent l="19050" t="19050" r="20955" b="27305"/>
            <wp:wrapThrough wrapText="bothSides">
              <wp:wrapPolygon edited="0">
                <wp:start x="-77" y="-127"/>
                <wp:lineTo x="-77" y="21655"/>
                <wp:lineTo x="21608" y="21655"/>
                <wp:lineTo x="21608" y="-127"/>
                <wp:lineTo x="-77" y="-127"/>
              </wp:wrapPolygon>
            </wp:wrapThrough>
            <wp:docPr id="6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BF5653" w:rsidRDefault="00BF5653" w:rsidP="00BF5653">
      <w:pPr>
        <w:pStyle w:val="NormalWeb"/>
        <w:spacing w:before="360" w:beforeAutospacing="0" w:after="360" w:afterAutospacing="0"/>
        <w:jc w:val="center"/>
        <w:rPr>
          <w:rFonts w:ascii="Cambria" w:hAnsi="Cambria"/>
          <w:sz w:val="22"/>
          <w:szCs w:val="22"/>
        </w:rPr>
      </w:pPr>
    </w:p>
    <w:p w:rsidR="00BF5653" w:rsidRDefault="00BF5653" w:rsidP="00BF5653">
      <w:pPr>
        <w:pStyle w:val="NormalWeb"/>
        <w:spacing w:before="360" w:beforeAutospacing="0" w:after="360" w:afterAutospacing="0"/>
        <w:jc w:val="center"/>
        <w:rPr>
          <w:rFonts w:ascii="Cambria" w:hAnsi="Cambria"/>
          <w:sz w:val="22"/>
          <w:szCs w:val="22"/>
        </w:rPr>
      </w:pPr>
    </w:p>
    <w:p w:rsidR="00BF5653" w:rsidRDefault="00BF5653" w:rsidP="00BF5653">
      <w:pPr>
        <w:pStyle w:val="NormalWeb"/>
        <w:spacing w:before="360" w:beforeAutospacing="0" w:after="360" w:afterAutospacing="0"/>
        <w:jc w:val="center"/>
        <w:rPr>
          <w:rFonts w:ascii="Cambria" w:hAnsi="Cambria"/>
          <w:sz w:val="22"/>
          <w:szCs w:val="22"/>
        </w:rPr>
      </w:pPr>
    </w:p>
    <w:p w:rsidR="00BF5653" w:rsidRPr="009E0392" w:rsidRDefault="00BF5653" w:rsidP="00BF5653">
      <w:pPr>
        <w:pStyle w:val="NormalWeb"/>
        <w:spacing w:before="360" w:beforeAutospacing="0" w:after="360" w:afterAutospacing="0"/>
        <w:jc w:val="center"/>
        <w:rPr>
          <w:rFonts w:ascii="Cambria" w:hAnsi="Cambria"/>
          <w:sz w:val="22"/>
          <w:szCs w:val="22"/>
        </w:rPr>
      </w:pPr>
    </w:p>
    <w:p w:rsidR="00BF5653" w:rsidRDefault="00BF5653" w:rsidP="00BF5653">
      <w:pPr>
        <w:pStyle w:val="NormalWeb"/>
        <w:rPr>
          <w:rFonts w:ascii="Cambria" w:hAnsi="Cambria"/>
          <w:bCs/>
          <w:sz w:val="22"/>
        </w:rPr>
      </w:pPr>
    </w:p>
    <w:p w:rsidR="00ED0D15" w:rsidRDefault="00BF5653" w:rsidP="00BF5653">
      <w:pPr>
        <w:pStyle w:val="NormalWeb"/>
        <w:rPr>
          <w:rStyle w:val="content"/>
          <w:rFonts w:ascii="Cambria" w:hAnsi="Cambria"/>
          <w:i/>
          <w:sz w:val="22"/>
        </w:rPr>
      </w:pPr>
      <w:r>
        <w:rPr>
          <w:rStyle w:val="content"/>
          <w:i/>
          <w:sz w:val="22"/>
        </w:rPr>
        <w:br/>
      </w:r>
    </w:p>
    <w:p w:rsidR="00ED0D15" w:rsidRDefault="00ED0D15" w:rsidP="00BF5653">
      <w:pPr>
        <w:pStyle w:val="NormalWeb"/>
        <w:rPr>
          <w:rStyle w:val="content"/>
          <w:rFonts w:ascii="Cambria" w:hAnsi="Cambria"/>
          <w:i/>
          <w:sz w:val="22"/>
        </w:rPr>
      </w:pPr>
    </w:p>
    <w:p w:rsidR="00E43D6C" w:rsidRDefault="00E43D6C" w:rsidP="00BF5653">
      <w:pPr>
        <w:pStyle w:val="NormalWeb"/>
        <w:rPr>
          <w:rStyle w:val="content"/>
          <w:rFonts w:ascii="Cambria" w:hAnsi="Cambria"/>
          <w:i/>
          <w:sz w:val="22"/>
        </w:rPr>
      </w:pPr>
    </w:p>
    <w:p w:rsidR="00BF5653" w:rsidRPr="00611A26" w:rsidRDefault="00BF5653" w:rsidP="00BF5653">
      <w:pPr>
        <w:pStyle w:val="NormalWeb"/>
        <w:rPr>
          <w:rStyle w:val="content"/>
          <w:rFonts w:ascii="Cambria" w:hAnsi="Cambria"/>
          <w:sz w:val="22"/>
        </w:rPr>
      </w:pPr>
      <w:r w:rsidRPr="00611A26">
        <w:rPr>
          <w:rStyle w:val="content"/>
          <w:rFonts w:ascii="Cambria" w:hAnsi="Cambria"/>
          <w:i/>
          <w:sz w:val="22"/>
        </w:rPr>
        <w:t>Source:</w:t>
      </w:r>
      <w:r w:rsidRPr="00611A26">
        <w:rPr>
          <w:rStyle w:val="content"/>
          <w:rFonts w:ascii="Cambria" w:hAnsi="Cambria"/>
          <w:sz w:val="22"/>
        </w:rPr>
        <w:t xml:space="preserve"> U.S. Census Bureau</w:t>
      </w:r>
      <w:r w:rsidR="00111171">
        <w:rPr>
          <w:rStyle w:val="content"/>
          <w:rFonts w:ascii="Cambria" w:hAnsi="Cambria"/>
          <w:sz w:val="22"/>
        </w:rPr>
        <w:t xml:space="preserve"> </w:t>
      </w:r>
    </w:p>
    <w:p w:rsidR="00C54DB9" w:rsidRDefault="00BF5653" w:rsidP="00C54DB9">
      <w:pPr>
        <w:pStyle w:val="Heading5"/>
        <w:spacing w:before="0"/>
        <w:rPr>
          <w:color w:val="auto"/>
          <w:lang w:val="en-US"/>
        </w:rPr>
      </w:pPr>
      <w:r w:rsidRPr="00074652">
        <w:rPr>
          <w:color w:val="auto"/>
        </w:rPr>
        <w:t>Discussion</w:t>
      </w:r>
    </w:p>
    <w:p w:rsidR="0076017F" w:rsidRPr="00BA552A" w:rsidRDefault="0076017F" w:rsidP="0076017F">
      <w:pPr>
        <w:rPr>
          <w:rFonts w:cs="Arial"/>
        </w:rPr>
      </w:pPr>
      <w:bookmarkStart w:id="29" w:name="_Toc292981195"/>
      <w:bookmarkStart w:id="30" w:name="_Toc318638258"/>
      <w:r w:rsidRPr="00BA552A">
        <w:rPr>
          <w:lang w:eastAsia="x-none"/>
        </w:rPr>
        <w:t>Using data obtained from the U.S. Census Bureau</w:t>
      </w:r>
      <w:r w:rsidR="00B84E22" w:rsidRPr="00BA552A">
        <w:rPr>
          <w:lang w:eastAsia="x-none"/>
        </w:rPr>
        <w:t>,</w:t>
      </w:r>
      <w:r w:rsidRPr="00BA552A">
        <w:rPr>
          <w:lang w:eastAsia="x-none"/>
        </w:rPr>
        <w:t xml:space="preserve"> we can see that the total population of Linn County has decreased by 7.8 percent or roughly (-993) people from 2000-2010 bringing the population down to 12,760. The population change for the entire state of Missouri on the other hand increased roughly 7 percent to </w:t>
      </w:r>
      <w:r w:rsidRPr="00BA552A">
        <w:rPr>
          <w:rFonts w:cs="Arial"/>
        </w:rPr>
        <w:t xml:space="preserve">5,988,927 people. </w:t>
      </w:r>
    </w:p>
    <w:p w:rsidR="0076017F" w:rsidRPr="00BA552A" w:rsidRDefault="0076017F" w:rsidP="0076017F">
      <w:pPr>
        <w:rPr>
          <w:rFonts w:cs="Arial"/>
        </w:rPr>
      </w:pPr>
      <w:r w:rsidRPr="00BA552A">
        <w:rPr>
          <w:rFonts w:cs="Arial"/>
        </w:rPr>
        <w:t>The decrease in population could be attributed to a couple of factors including, but not limited to, proximity of major metropolitan areas, migration from surrounding counties, increased industry, and an increase in prison population.</w:t>
      </w:r>
    </w:p>
    <w:p w:rsidR="0076017F" w:rsidRDefault="0076017F" w:rsidP="0076017F">
      <w:pPr>
        <w:rPr>
          <w:rFonts w:cs="Arial"/>
          <w:color w:val="000000"/>
        </w:rPr>
      </w:pPr>
    </w:p>
    <w:p w:rsidR="0076017F" w:rsidRDefault="0076017F" w:rsidP="0076017F">
      <w:pPr>
        <w:rPr>
          <w:rFonts w:cs="Arial"/>
          <w:color w:val="000000"/>
        </w:rPr>
      </w:pPr>
    </w:p>
    <w:p w:rsidR="0076017F" w:rsidRDefault="0076017F" w:rsidP="0076017F">
      <w:pPr>
        <w:rPr>
          <w:rFonts w:cs="Arial"/>
          <w:color w:val="000000"/>
        </w:rPr>
      </w:pPr>
    </w:p>
    <w:p w:rsidR="0076017F" w:rsidRDefault="0076017F" w:rsidP="0076017F">
      <w:pPr>
        <w:rPr>
          <w:rFonts w:cs="Arial"/>
          <w:color w:val="000000"/>
        </w:rPr>
      </w:pPr>
    </w:p>
    <w:p w:rsidR="00BF5653" w:rsidRPr="00074652" w:rsidRDefault="00BF5653" w:rsidP="00BF5653">
      <w:pPr>
        <w:pStyle w:val="Heading3"/>
        <w:rPr>
          <w:color w:val="auto"/>
        </w:rPr>
      </w:pPr>
      <w:bookmarkStart w:id="31" w:name="_Toc229126448"/>
      <w:r w:rsidRPr="00074652">
        <w:rPr>
          <w:color w:val="auto"/>
        </w:rPr>
        <w:lastRenderedPageBreak/>
        <w:t>Population by Age</w:t>
      </w:r>
      <w:bookmarkEnd w:id="29"/>
      <w:r>
        <w:rPr>
          <w:color w:val="auto"/>
        </w:rPr>
        <w:t xml:space="preserve"> – Figure 1.2</w:t>
      </w:r>
      <w:bookmarkEnd w:id="30"/>
      <w:bookmarkEnd w:id="31"/>
    </w:p>
    <w:p w:rsidR="00ED0D15" w:rsidRDefault="00FA23ED" w:rsidP="00BF5653">
      <w:pPr>
        <w:pStyle w:val="NormalWeb"/>
        <w:spacing w:after="0" w:afterAutospacing="0"/>
        <w:rPr>
          <w:noProof/>
          <w:sz w:val="22"/>
        </w:rPr>
      </w:pPr>
      <w:r>
        <w:rPr>
          <w:noProof/>
        </w:rPr>
        <w:drawing>
          <wp:anchor distT="12188" distB="15616" distL="126489" distR="133091" simplePos="0" relativeHeight="251642880" behindDoc="1" locked="0" layoutInCell="1" allowOverlap="1">
            <wp:simplePos x="0" y="0"/>
            <wp:positionH relativeFrom="column">
              <wp:posOffset>583689</wp:posOffset>
            </wp:positionH>
            <wp:positionV relativeFrom="paragraph">
              <wp:posOffset>2663</wp:posOffset>
            </wp:positionV>
            <wp:extent cx="5015230" cy="4104005"/>
            <wp:effectExtent l="19050" t="19050" r="13970" b="10795"/>
            <wp:wrapNone/>
            <wp:docPr id="6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E51844" w:rsidRDefault="00E51844" w:rsidP="00BF5653">
      <w:pPr>
        <w:pStyle w:val="NormalWeb"/>
        <w:spacing w:after="0" w:afterAutospacing="0"/>
        <w:rPr>
          <w:rStyle w:val="content"/>
          <w:rFonts w:ascii="Cambria" w:hAnsi="Cambria"/>
          <w:i/>
          <w:sz w:val="22"/>
        </w:rPr>
      </w:pPr>
    </w:p>
    <w:p w:rsidR="00E51844" w:rsidRDefault="00E51844" w:rsidP="00BF5653">
      <w:pPr>
        <w:pStyle w:val="NormalWeb"/>
        <w:spacing w:after="0" w:afterAutospacing="0"/>
        <w:rPr>
          <w:rStyle w:val="content"/>
          <w:rFonts w:ascii="Cambria" w:hAnsi="Cambria"/>
          <w:i/>
          <w:sz w:val="22"/>
        </w:rPr>
      </w:pPr>
    </w:p>
    <w:p w:rsidR="00E51844" w:rsidRDefault="00E51844" w:rsidP="00BF5653">
      <w:pPr>
        <w:pStyle w:val="NormalWeb"/>
        <w:spacing w:after="0" w:afterAutospacing="0"/>
        <w:rPr>
          <w:rStyle w:val="content"/>
          <w:rFonts w:ascii="Cambria" w:hAnsi="Cambria"/>
          <w:i/>
          <w:sz w:val="22"/>
        </w:rPr>
      </w:pPr>
    </w:p>
    <w:p w:rsidR="00E51844" w:rsidRDefault="00E51844" w:rsidP="00BF5653">
      <w:pPr>
        <w:pStyle w:val="NormalWeb"/>
        <w:spacing w:after="0" w:afterAutospacing="0"/>
        <w:rPr>
          <w:rStyle w:val="content"/>
          <w:rFonts w:ascii="Cambria" w:hAnsi="Cambria"/>
          <w:i/>
          <w:sz w:val="22"/>
        </w:rPr>
      </w:pPr>
    </w:p>
    <w:p w:rsidR="00E51844" w:rsidRDefault="00E51844" w:rsidP="00BF5653">
      <w:pPr>
        <w:pStyle w:val="NormalWeb"/>
        <w:spacing w:after="0" w:afterAutospacing="0"/>
        <w:rPr>
          <w:rStyle w:val="content"/>
          <w:rFonts w:ascii="Cambria" w:hAnsi="Cambria"/>
          <w:i/>
          <w:sz w:val="22"/>
        </w:rPr>
      </w:pPr>
    </w:p>
    <w:p w:rsidR="00E51844" w:rsidRDefault="00E51844" w:rsidP="00BF5653">
      <w:pPr>
        <w:pStyle w:val="NormalWeb"/>
        <w:spacing w:after="0" w:afterAutospacing="0"/>
        <w:rPr>
          <w:rStyle w:val="content"/>
          <w:rFonts w:ascii="Cambria" w:hAnsi="Cambria"/>
          <w:i/>
          <w:sz w:val="22"/>
        </w:rPr>
      </w:pPr>
    </w:p>
    <w:p w:rsidR="00E51844" w:rsidRDefault="00E51844" w:rsidP="00BF5653">
      <w:pPr>
        <w:pStyle w:val="NormalWeb"/>
        <w:spacing w:after="0" w:afterAutospacing="0"/>
        <w:rPr>
          <w:rStyle w:val="content"/>
          <w:rFonts w:ascii="Cambria" w:hAnsi="Cambria"/>
          <w:i/>
          <w:sz w:val="22"/>
        </w:rPr>
      </w:pPr>
    </w:p>
    <w:p w:rsidR="00E51844" w:rsidRDefault="00E51844" w:rsidP="00BF5653">
      <w:pPr>
        <w:pStyle w:val="NormalWeb"/>
        <w:spacing w:after="0" w:afterAutospacing="0"/>
        <w:rPr>
          <w:rStyle w:val="content"/>
          <w:rFonts w:ascii="Cambria" w:hAnsi="Cambria"/>
          <w:i/>
          <w:sz w:val="22"/>
        </w:rPr>
      </w:pPr>
    </w:p>
    <w:p w:rsidR="00E51844" w:rsidRDefault="00E51844" w:rsidP="00BF5653">
      <w:pPr>
        <w:pStyle w:val="NormalWeb"/>
        <w:spacing w:after="0" w:afterAutospacing="0"/>
        <w:rPr>
          <w:rStyle w:val="content"/>
          <w:rFonts w:ascii="Cambria" w:hAnsi="Cambria"/>
          <w:i/>
          <w:sz w:val="22"/>
        </w:rPr>
      </w:pPr>
    </w:p>
    <w:p w:rsidR="00E51844" w:rsidRDefault="00E51844" w:rsidP="00BF5653">
      <w:pPr>
        <w:pStyle w:val="NormalWeb"/>
        <w:spacing w:after="0" w:afterAutospacing="0"/>
        <w:rPr>
          <w:rStyle w:val="content"/>
          <w:rFonts w:ascii="Cambria" w:hAnsi="Cambria"/>
          <w:i/>
          <w:sz w:val="22"/>
        </w:rPr>
      </w:pPr>
    </w:p>
    <w:p w:rsidR="002C76AA" w:rsidRDefault="002C76AA" w:rsidP="00BF5653">
      <w:pPr>
        <w:pStyle w:val="NormalWeb"/>
        <w:spacing w:after="0" w:afterAutospacing="0"/>
        <w:rPr>
          <w:rStyle w:val="content"/>
          <w:rFonts w:ascii="Cambria" w:hAnsi="Cambria"/>
          <w:i/>
          <w:sz w:val="22"/>
        </w:rPr>
      </w:pPr>
    </w:p>
    <w:p w:rsidR="00BF5653" w:rsidRPr="00074652" w:rsidRDefault="00BF5653" w:rsidP="00BF5653">
      <w:pPr>
        <w:pStyle w:val="NormalWeb"/>
        <w:spacing w:after="0" w:afterAutospacing="0"/>
        <w:rPr>
          <w:i/>
          <w:sz w:val="22"/>
        </w:rPr>
      </w:pPr>
      <w:r w:rsidRPr="00611A26">
        <w:rPr>
          <w:rStyle w:val="content"/>
          <w:rFonts w:ascii="Cambria" w:hAnsi="Cambria"/>
          <w:i/>
          <w:sz w:val="22"/>
        </w:rPr>
        <w:t>Source:</w:t>
      </w:r>
      <w:r w:rsidRPr="00611A26">
        <w:rPr>
          <w:rStyle w:val="content"/>
          <w:rFonts w:ascii="Cambria" w:hAnsi="Cambria"/>
          <w:sz w:val="22"/>
        </w:rPr>
        <w:t xml:space="preserve"> U.S. Census Bureau</w:t>
      </w:r>
      <w:r w:rsidR="004A50FB">
        <w:rPr>
          <w:rStyle w:val="content"/>
          <w:rFonts w:ascii="Cambria" w:hAnsi="Cambria"/>
          <w:sz w:val="22"/>
        </w:rPr>
        <w:t xml:space="preserve"> </w:t>
      </w:r>
    </w:p>
    <w:p w:rsidR="00BF5653" w:rsidRPr="0042548B" w:rsidRDefault="00BF5653" w:rsidP="0042548B">
      <w:pPr>
        <w:pStyle w:val="Heading5"/>
        <w:spacing w:before="0"/>
        <w:jc w:val="left"/>
        <w:rPr>
          <w:color w:val="auto"/>
          <w:lang w:val="en-US"/>
        </w:rPr>
      </w:pPr>
    </w:p>
    <w:p w:rsidR="00BF5653" w:rsidRPr="00074652" w:rsidRDefault="00BF5653" w:rsidP="00BF5653">
      <w:pPr>
        <w:pStyle w:val="Heading5"/>
        <w:spacing w:before="0"/>
        <w:rPr>
          <w:color w:val="auto"/>
        </w:rPr>
      </w:pPr>
      <w:r w:rsidRPr="00074652">
        <w:rPr>
          <w:color w:val="auto"/>
        </w:rPr>
        <w:t>Discussion</w:t>
      </w:r>
      <w:r w:rsidR="00AD7B29">
        <w:rPr>
          <w:color w:val="auto"/>
        </w:rPr>
        <w:t xml:space="preserve"> </w:t>
      </w:r>
    </w:p>
    <w:p w:rsidR="00BF5653" w:rsidRDefault="00BF5653" w:rsidP="00BF5653">
      <w:pPr>
        <w:pStyle w:val="NormalWeb"/>
        <w:spacing w:before="0" w:beforeAutospacing="0"/>
        <w:rPr>
          <w:rFonts w:ascii="Cambria" w:hAnsi="Cambria"/>
          <w:sz w:val="22"/>
        </w:rPr>
      </w:pPr>
      <w:r w:rsidRPr="00074652">
        <w:rPr>
          <w:rFonts w:ascii="Cambria" w:hAnsi="Cambria"/>
          <w:sz w:val="22"/>
        </w:rPr>
        <w:t>F</w:t>
      </w:r>
      <w:r>
        <w:rPr>
          <w:rFonts w:ascii="Cambria" w:hAnsi="Cambria"/>
          <w:sz w:val="22"/>
        </w:rPr>
        <w:t>igure 1.2</w:t>
      </w:r>
      <w:r w:rsidRPr="00074652">
        <w:rPr>
          <w:rFonts w:ascii="Cambria" w:hAnsi="Cambria"/>
          <w:sz w:val="22"/>
        </w:rPr>
        <w:t xml:space="preserve"> shows a break down by age for </w:t>
      </w:r>
      <w:r w:rsidR="007C52C5">
        <w:rPr>
          <w:rFonts w:ascii="Cambria" w:hAnsi="Cambria"/>
          <w:sz w:val="22"/>
        </w:rPr>
        <w:t>Linn County.  Individuals between 35 and 6</w:t>
      </w:r>
      <w:r w:rsidRPr="00074652">
        <w:rPr>
          <w:rFonts w:ascii="Cambria" w:hAnsi="Cambria"/>
          <w:sz w:val="22"/>
        </w:rPr>
        <w:t xml:space="preserve">4 </w:t>
      </w:r>
      <w:r w:rsidR="00E51844">
        <w:rPr>
          <w:rFonts w:ascii="Cambria" w:hAnsi="Cambria"/>
          <w:sz w:val="22"/>
        </w:rPr>
        <w:t>years of age make up about 40 percent</w:t>
      </w:r>
      <w:r w:rsidRPr="00074652">
        <w:rPr>
          <w:rFonts w:ascii="Cambria" w:hAnsi="Cambria"/>
          <w:sz w:val="22"/>
        </w:rPr>
        <w:t xml:space="preserve"> of L</w:t>
      </w:r>
      <w:r w:rsidR="007C52C5">
        <w:rPr>
          <w:rFonts w:ascii="Cambria" w:hAnsi="Cambria"/>
          <w:sz w:val="22"/>
        </w:rPr>
        <w:t>inn</w:t>
      </w:r>
      <w:r w:rsidR="00E51844">
        <w:rPr>
          <w:rFonts w:ascii="Cambria" w:hAnsi="Cambria"/>
          <w:sz w:val="22"/>
        </w:rPr>
        <w:t xml:space="preserve"> County’s population</w:t>
      </w:r>
      <w:r w:rsidRPr="00074652">
        <w:rPr>
          <w:rFonts w:ascii="Cambria" w:hAnsi="Cambria"/>
          <w:sz w:val="22"/>
        </w:rPr>
        <w:t>.  The age of the population can determi</w:t>
      </w:r>
      <w:r w:rsidR="00D1117B">
        <w:rPr>
          <w:rFonts w:ascii="Cambria" w:hAnsi="Cambria"/>
          <w:sz w:val="22"/>
        </w:rPr>
        <w:t>ne the needs of the community and</w:t>
      </w:r>
      <w:r w:rsidRPr="00074652">
        <w:rPr>
          <w:rFonts w:ascii="Cambria" w:hAnsi="Cambria"/>
          <w:sz w:val="22"/>
        </w:rPr>
        <w:t xml:space="preserve"> it helps determine what types of health care services will be required now and in the future.  Also important to note, individuals</w:t>
      </w:r>
      <w:r w:rsidR="00E51844">
        <w:rPr>
          <w:rFonts w:ascii="Cambria" w:hAnsi="Cambria"/>
          <w:sz w:val="22"/>
        </w:rPr>
        <w:t xml:space="preserve"> above 54 years old represent 31</w:t>
      </w:r>
      <w:r w:rsidRPr="00074652">
        <w:rPr>
          <w:rFonts w:ascii="Cambria" w:hAnsi="Cambria"/>
          <w:sz w:val="22"/>
        </w:rPr>
        <w:t xml:space="preserve"> percent of the population and require different needs in terms of healthcare services.  Older adults will need health care services to treat chronic conditions like heart disease, arthritis, diabetes, high blood pressure</w:t>
      </w:r>
      <w:r w:rsidR="00A5392A">
        <w:rPr>
          <w:rFonts w:ascii="Cambria" w:hAnsi="Cambria"/>
          <w:sz w:val="22"/>
        </w:rPr>
        <w:t>,</w:t>
      </w:r>
      <w:r w:rsidRPr="00074652">
        <w:rPr>
          <w:rFonts w:ascii="Cambria" w:hAnsi="Cambria"/>
          <w:sz w:val="22"/>
        </w:rPr>
        <w:t xml:space="preserve"> and respiratory disease.  </w:t>
      </w:r>
      <w:r w:rsidRPr="00E51844">
        <w:rPr>
          <w:rFonts w:ascii="Cambria" w:hAnsi="Cambria"/>
          <w:sz w:val="22"/>
        </w:rPr>
        <w:t xml:space="preserve">According to the Census Bureau reports, 80 percent of Americans </w:t>
      </w:r>
      <w:r w:rsidR="00D1117B">
        <w:rPr>
          <w:rFonts w:ascii="Cambria" w:hAnsi="Cambria"/>
          <w:sz w:val="22"/>
        </w:rPr>
        <w:t xml:space="preserve">54 and older </w:t>
      </w:r>
      <w:r w:rsidRPr="00E51844">
        <w:rPr>
          <w:rFonts w:ascii="Cambria" w:hAnsi="Cambria"/>
          <w:sz w:val="22"/>
        </w:rPr>
        <w:t>have at least one chronic health condition.</w:t>
      </w:r>
      <w:r w:rsidRPr="00074652">
        <w:rPr>
          <w:rFonts w:ascii="Cambria" w:hAnsi="Cambria"/>
          <w:sz w:val="22"/>
        </w:rPr>
        <w:t xml:space="preserve">  Heart disease, cancer</w:t>
      </w:r>
      <w:r w:rsidR="00A5392A">
        <w:rPr>
          <w:rFonts w:ascii="Cambria" w:hAnsi="Cambria"/>
          <w:sz w:val="22"/>
        </w:rPr>
        <w:t>,</w:t>
      </w:r>
      <w:r w:rsidRPr="00074652">
        <w:rPr>
          <w:rFonts w:ascii="Cambria" w:hAnsi="Cambria"/>
          <w:sz w:val="22"/>
        </w:rPr>
        <w:t xml:space="preserve"> and stroke are leading causes of death for this group of individuals.</w:t>
      </w:r>
      <w:r w:rsidR="004A50FB">
        <w:rPr>
          <w:rFonts w:ascii="Cambria" w:hAnsi="Cambria"/>
          <w:sz w:val="22"/>
        </w:rPr>
        <w:t xml:space="preserve"> </w:t>
      </w:r>
    </w:p>
    <w:p w:rsidR="00BF5653" w:rsidRDefault="00BF5653" w:rsidP="00BF5653">
      <w:pPr>
        <w:pStyle w:val="NormalWeb"/>
        <w:spacing w:before="0" w:beforeAutospacing="0"/>
        <w:rPr>
          <w:rFonts w:ascii="Cambria" w:hAnsi="Cambria"/>
          <w:sz w:val="22"/>
        </w:rPr>
      </w:pPr>
    </w:p>
    <w:p w:rsidR="00BF5653" w:rsidRDefault="00BF5653" w:rsidP="00BF5653">
      <w:pPr>
        <w:pStyle w:val="NormalWeb"/>
        <w:spacing w:before="0" w:beforeAutospacing="0"/>
        <w:rPr>
          <w:rFonts w:ascii="Cambria" w:hAnsi="Cambria"/>
          <w:sz w:val="22"/>
        </w:rPr>
      </w:pPr>
    </w:p>
    <w:p w:rsidR="00BF5653" w:rsidRDefault="00BF5653" w:rsidP="00BF5653">
      <w:pPr>
        <w:pStyle w:val="NormalWeb"/>
        <w:spacing w:before="0" w:beforeAutospacing="0"/>
        <w:jc w:val="center"/>
        <w:rPr>
          <w:bCs/>
        </w:rPr>
      </w:pPr>
    </w:p>
    <w:p w:rsidR="00E10254" w:rsidRPr="00074652" w:rsidRDefault="00E10254" w:rsidP="0051238D">
      <w:pPr>
        <w:pStyle w:val="NormalWeb"/>
        <w:spacing w:before="0" w:beforeAutospacing="0"/>
        <w:rPr>
          <w:bCs/>
        </w:rPr>
      </w:pPr>
    </w:p>
    <w:p w:rsidR="00BF5653" w:rsidRPr="00074652" w:rsidRDefault="00FA23ED" w:rsidP="00BF5653">
      <w:pPr>
        <w:pStyle w:val="Heading3"/>
        <w:rPr>
          <w:color w:val="auto"/>
        </w:rPr>
      </w:pPr>
      <w:bookmarkStart w:id="32" w:name="_Toc292981196"/>
      <w:bookmarkStart w:id="33" w:name="_Toc318638259"/>
      <w:bookmarkStart w:id="34" w:name="_Toc229126449"/>
      <w:r>
        <w:rPr>
          <w:noProof/>
          <w:lang w:val="en-US" w:eastAsia="en-US"/>
        </w:rPr>
        <w:lastRenderedPageBreak/>
        <w:drawing>
          <wp:anchor distT="11750" distB="17502" distL="126521" distR="130595" simplePos="0" relativeHeight="251671552" behindDoc="1" locked="0" layoutInCell="1" allowOverlap="1">
            <wp:simplePos x="0" y="0"/>
            <wp:positionH relativeFrom="column">
              <wp:posOffset>355121</wp:posOffset>
            </wp:positionH>
            <wp:positionV relativeFrom="paragraph">
              <wp:posOffset>354650</wp:posOffset>
            </wp:positionV>
            <wp:extent cx="5000625" cy="3513455"/>
            <wp:effectExtent l="19050" t="19050" r="9525" b="10795"/>
            <wp:wrapNone/>
            <wp:docPr id="9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DE400C">
        <w:rPr>
          <w:color w:val="auto"/>
        </w:rPr>
        <w:t>Gender D</w:t>
      </w:r>
      <w:r w:rsidR="00BF5653" w:rsidRPr="00074652">
        <w:rPr>
          <w:color w:val="auto"/>
        </w:rPr>
        <w:t>ifferences (2010)</w:t>
      </w:r>
      <w:bookmarkEnd w:id="32"/>
      <w:r w:rsidR="00DE400C">
        <w:rPr>
          <w:color w:val="auto"/>
        </w:rPr>
        <w:t xml:space="preserve"> – F</w:t>
      </w:r>
      <w:r w:rsidR="00BF5653">
        <w:rPr>
          <w:color w:val="auto"/>
        </w:rPr>
        <w:t>igure 1.3</w:t>
      </w:r>
      <w:bookmarkEnd w:id="33"/>
      <w:bookmarkEnd w:id="34"/>
    </w:p>
    <w:p w:rsidR="00352D36" w:rsidRDefault="00352D36" w:rsidP="00BF5653">
      <w:pPr>
        <w:pStyle w:val="NormalWeb"/>
        <w:rPr>
          <w:b/>
          <w:noProof/>
        </w:rPr>
      </w:pPr>
    </w:p>
    <w:p w:rsidR="00352D36" w:rsidRDefault="00352D36" w:rsidP="00BF5653">
      <w:pPr>
        <w:pStyle w:val="NormalWeb"/>
        <w:rPr>
          <w:rStyle w:val="content"/>
          <w:rFonts w:ascii="Cambria" w:hAnsi="Cambria"/>
          <w:i/>
          <w:sz w:val="22"/>
        </w:rPr>
      </w:pPr>
    </w:p>
    <w:p w:rsidR="00352D36" w:rsidRDefault="00352D36" w:rsidP="00BF5653">
      <w:pPr>
        <w:pStyle w:val="NormalWeb"/>
        <w:rPr>
          <w:rStyle w:val="content"/>
          <w:rFonts w:ascii="Cambria" w:hAnsi="Cambria"/>
          <w:i/>
          <w:sz w:val="22"/>
        </w:rPr>
      </w:pPr>
    </w:p>
    <w:p w:rsidR="00352D36" w:rsidRDefault="00352D36" w:rsidP="00BF5653">
      <w:pPr>
        <w:pStyle w:val="NormalWeb"/>
        <w:rPr>
          <w:rStyle w:val="content"/>
          <w:rFonts w:ascii="Cambria" w:hAnsi="Cambria"/>
          <w:i/>
          <w:sz w:val="22"/>
        </w:rPr>
      </w:pPr>
    </w:p>
    <w:p w:rsidR="00352D36" w:rsidRDefault="00352D36" w:rsidP="00BF5653">
      <w:pPr>
        <w:pStyle w:val="NormalWeb"/>
        <w:rPr>
          <w:rStyle w:val="content"/>
          <w:rFonts w:ascii="Cambria" w:hAnsi="Cambria"/>
          <w:i/>
          <w:sz w:val="22"/>
        </w:rPr>
      </w:pPr>
    </w:p>
    <w:p w:rsidR="00352D36" w:rsidRDefault="00352D36" w:rsidP="00BF5653">
      <w:pPr>
        <w:pStyle w:val="NormalWeb"/>
        <w:rPr>
          <w:rStyle w:val="content"/>
          <w:rFonts w:ascii="Cambria" w:hAnsi="Cambria"/>
          <w:i/>
          <w:sz w:val="22"/>
        </w:rPr>
      </w:pPr>
    </w:p>
    <w:p w:rsidR="00352D36" w:rsidRDefault="00352D36" w:rsidP="00BF5653">
      <w:pPr>
        <w:pStyle w:val="NormalWeb"/>
        <w:rPr>
          <w:rStyle w:val="content"/>
          <w:rFonts w:ascii="Cambria" w:hAnsi="Cambria"/>
          <w:i/>
          <w:sz w:val="22"/>
        </w:rPr>
      </w:pPr>
    </w:p>
    <w:p w:rsidR="00352D36" w:rsidRDefault="00352D36" w:rsidP="00BF5653">
      <w:pPr>
        <w:pStyle w:val="NormalWeb"/>
        <w:rPr>
          <w:rStyle w:val="content"/>
          <w:rFonts w:ascii="Cambria" w:hAnsi="Cambria"/>
          <w:i/>
          <w:sz w:val="22"/>
        </w:rPr>
      </w:pPr>
    </w:p>
    <w:p w:rsidR="00352D36" w:rsidRDefault="00352D36" w:rsidP="00BF5653">
      <w:pPr>
        <w:pStyle w:val="NormalWeb"/>
        <w:rPr>
          <w:rStyle w:val="content"/>
          <w:rFonts w:ascii="Cambria" w:hAnsi="Cambria"/>
          <w:i/>
          <w:sz w:val="22"/>
        </w:rPr>
      </w:pPr>
    </w:p>
    <w:p w:rsidR="00352D36" w:rsidRDefault="00352D36" w:rsidP="00BF5653">
      <w:pPr>
        <w:pStyle w:val="NormalWeb"/>
        <w:rPr>
          <w:rStyle w:val="content"/>
          <w:rFonts w:ascii="Cambria" w:hAnsi="Cambria"/>
          <w:i/>
          <w:sz w:val="22"/>
        </w:rPr>
      </w:pPr>
    </w:p>
    <w:p w:rsidR="00352D36" w:rsidRDefault="00352D36" w:rsidP="00352D36">
      <w:pPr>
        <w:pStyle w:val="NormalWeb"/>
        <w:contextualSpacing/>
        <w:rPr>
          <w:rStyle w:val="content"/>
          <w:rFonts w:ascii="Cambria" w:hAnsi="Cambria"/>
          <w:i/>
          <w:sz w:val="22"/>
        </w:rPr>
      </w:pPr>
    </w:p>
    <w:p w:rsidR="00BF5653" w:rsidRPr="00074652" w:rsidRDefault="00BF5653" w:rsidP="00352D36">
      <w:pPr>
        <w:pStyle w:val="NormalWeb"/>
        <w:contextualSpacing/>
        <w:rPr>
          <w:rFonts w:ascii="Cambria" w:hAnsi="Cambria"/>
          <w:sz w:val="22"/>
        </w:rPr>
      </w:pPr>
      <w:r w:rsidRPr="00611A26">
        <w:rPr>
          <w:rStyle w:val="content"/>
          <w:rFonts w:ascii="Cambria" w:hAnsi="Cambria"/>
          <w:i/>
          <w:sz w:val="22"/>
        </w:rPr>
        <w:t>Source:</w:t>
      </w:r>
      <w:r w:rsidRPr="00611A26">
        <w:rPr>
          <w:rStyle w:val="content"/>
          <w:rFonts w:ascii="Cambria" w:hAnsi="Cambria"/>
          <w:sz w:val="22"/>
        </w:rPr>
        <w:t xml:space="preserve"> U.S. Census Bureau</w:t>
      </w:r>
    </w:p>
    <w:p w:rsidR="00112AA8" w:rsidRPr="00074652" w:rsidRDefault="00112AA8" w:rsidP="00112AA8">
      <w:pPr>
        <w:pStyle w:val="Heading5"/>
        <w:rPr>
          <w:color w:val="auto"/>
        </w:rPr>
      </w:pPr>
      <w:r w:rsidRPr="00074652">
        <w:rPr>
          <w:color w:val="auto"/>
        </w:rPr>
        <w:t>Discussion</w:t>
      </w:r>
    </w:p>
    <w:p w:rsidR="00112AA8" w:rsidRPr="00074652" w:rsidRDefault="00112AA8" w:rsidP="00112AA8">
      <w:pPr>
        <w:pStyle w:val="NormalWeb"/>
        <w:spacing w:before="0" w:beforeAutospacing="0"/>
        <w:rPr>
          <w:rFonts w:ascii="Cambria" w:hAnsi="Cambria"/>
          <w:sz w:val="22"/>
        </w:rPr>
      </w:pPr>
      <w:r w:rsidRPr="00074652">
        <w:rPr>
          <w:rFonts w:ascii="Cambria" w:hAnsi="Cambria"/>
          <w:sz w:val="22"/>
        </w:rPr>
        <w:t xml:space="preserve">Findings determine that women have higher healthcare service utilization and higher associated charges than men. Although the appropriateness of these differences is not determined, these findings have implications for the needs of health care services provided in the community.  </w:t>
      </w:r>
      <w:r>
        <w:rPr>
          <w:rFonts w:ascii="Cambria" w:hAnsi="Cambria"/>
          <w:sz w:val="22"/>
        </w:rPr>
        <w:t>Linn</w:t>
      </w:r>
      <w:r w:rsidRPr="00074652">
        <w:rPr>
          <w:rFonts w:ascii="Cambria" w:hAnsi="Cambria"/>
          <w:sz w:val="22"/>
        </w:rPr>
        <w:t xml:space="preserve"> Co</w:t>
      </w:r>
      <w:r>
        <w:rPr>
          <w:rFonts w:ascii="Cambria" w:hAnsi="Cambria"/>
          <w:sz w:val="22"/>
        </w:rPr>
        <w:t xml:space="preserve">unty has a </w:t>
      </w:r>
      <w:r w:rsidR="00491D59">
        <w:rPr>
          <w:rFonts w:ascii="Cambria" w:hAnsi="Cambria"/>
          <w:sz w:val="22"/>
        </w:rPr>
        <w:t xml:space="preserve">marginally higher level of females to </w:t>
      </w:r>
      <w:r>
        <w:rPr>
          <w:rFonts w:ascii="Cambria" w:hAnsi="Cambria"/>
          <w:sz w:val="22"/>
        </w:rPr>
        <w:t>males</w:t>
      </w:r>
      <w:r w:rsidRPr="00074652">
        <w:rPr>
          <w:rFonts w:ascii="Cambria" w:hAnsi="Cambria"/>
          <w:sz w:val="22"/>
        </w:rPr>
        <w:t xml:space="preserve"> </w:t>
      </w:r>
      <w:r>
        <w:rPr>
          <w:rFonts w:ascii="Cambria" w:hAnsi="Cambria"/>
          <w:sz w:val="22"/>
        </w:rPr>
        <w:t>from age ranges of 15-64, also Linn County has a higher level of females compared to males from age ranges of 65+. Wome</w:t>
      </w:r>
      <w:r w:rsidRPr="00074652">
        <w:rPr>
          <w:rFonts w:ascii="Cambria" w:hAnsi="Cambria"/>
          <w:sz w:val="22"/>
        </w:rPr>
        <w:t xml:space="preserve">n </w:t>
      </w:r>
      <w:r>
        <w:rPr>
          <w:rFonts w:ascii="Cambria" w:hAnsi="Cambria"/>
          <w:sz w:val="22"/>
        </w:rPr>
        <w:t>have a higher overall life expectancy</w:t>
      </w:r>
      <w:r w:rsidRPr="00074652">
        <w:rPr>
          <w:rFonts w:ascii="Cambria" w:hAnsi="Cambria"/>
          <w:sz w:val="22"/>
        </w:rPr>
        <w:t xml:space="preserve"> and will require more services to fulfill their health care needs</w:t>
      </w:r>
      <w:r>
        <w:rPr>
          <w:rFonts w:ascii="Cambria" w:hAnsi="Cambria"/>
          <w:sz w:val="22"/>
        </w:rPr>
        <w:t xml:space="preserve"> over time</w:t>
      </w:r>
      <w:r w:rsidRPr="00074652">
        <w:rPr>
          <w:rFonts w:ascii="Cambria" w:hAnsi="Cambria"/>
          <w:sz w:val="22"/>
        </w:rPr>
        <w:t>.</w:t>
      </w:r>
      <w:r>
        <w:rPr>
          <w:rFonts w:ascii="Cambria" w:hAnsi="Cambria"/>
          <w:sz w:val="22"/>
        </w:rPr>
        <w:t xml:space="preserve"> </w:t>
      </w:r>
    </w:p>
    <w:p w:rsidR="00BF5653" w:rsidRPr="00074652" w:rsidRDefault="00BF5653" w:rsidP="00BF5653">
      <w:pPr>
        <w:pStyle w:val="Heading3"/>
        <w:rPr>
          <w:color w:val="auto"/>
        </w:rPr>
      </w:pPr>
      <w:r w:rsidRPr="00074652">
        <w:rPr>
          <w:color w:val="auto"/>
        </w:rPr>
        <w:br w:type="page"/>
      </w:r>
      <w:bookmarkStart w:id="35" w:name="_Toc292981197"/>
      <w:bookmarkStart w:id="36" w:name="_Toc318638260"/>
      <w:bookmarkStart w:id="37" w:name="_Toc229126450"/>
      <w:r w:rsidR="00DE400C">
        <w:rPr>
          <w:color w:val="auto"/>
        </w:rPr>
        <w:lastRenderedPageBreak/>
        <w:t>Ethnicity B</w:t>
      </w:r>
      <w:r w:rsidR="00B15BC8">
        <w:rPr>
          <w:color w:val="auto"/>
        </w:rPr>
        <w:t>reakdowns (20</w:t>
      </w:r>
      <w:r w:rsidR="00B15BC8">
        <w:rPr>
          <w:color w:val="auto"/>
          <w:lang w:val="en-US"/>
        </w:rPr>
        <w:t>10</w:t>
      </w:r>
      <w:r w:rsidRPr="00074652">
        <w:rPr>
          <w:color w:val="auto"/>
        </w:rPr>
        <w:t>)</w:t>
      </w:r>
      <w:bookmarkEnd w:id="35"/>
      <w:r w:rsidR="00DE400C">
        <w:rPr>
          <w:color w:val="auto"/>
        </w:rPr>
        <w:t xml:space="preserve"> – F</w:t>
      </w:r>
      <w:r>
        <w:rPr>
          <w:color w:val="auto"/>
        </w:rPr>
        <w:t>igure 1.4</w:t>
      </w:r>
      <w:bookmarkEnd w:id="36"/>
      <w:bookmarkEnd w:id="37"/>
    </w:p>
    <w:p w:rsidR="00B15BC8" w:rsidRDefault="00FA23ED" w:rsidP="00BF5653">
      <w:pPr>
        <w:pStyle w:val="NormalWeb"/>
        <w:rPr>
          <w:b/>
          <w:noProof/>
        </w:rPr>
      </w:pPr>
      <w:r>
        <w:rPr>
          <w:noProof/>
        </w:rPr>
        <w:drawing>
          <wp:anchor distT="15517" distB="23436" distL="128104" distR="135581" simplePos="0" relativeHeight="251643904" behindDoc="1" locked="0" layoutInCell="1" allowOverlap="1">
            <wp:simplePos x="0" y="0"/>
            <wp:positionH relativeFrom="column">
              <wp:posOffset>128104</wp:posOffset>
            </wp:positionH>
            <wp:positionV relativeFrom="paragraph">
              <wp:posOffset>-6708</wp:posOffset>
            </wp:positionV>
            <wp:extent cx="5679440" cy="3389630"/>
            <wp:effectExtent l="19050" t="19050" r="16510" b="20320"/>
            <wp:wrapNone/>
            <wp:docPr id="6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B15BC8" w:rsidRDefault="00B15BC8" w:rsidP="00BF5653">
      <w:pPr>
        <w:pStyle w:val="NormalWeb"/>
        <w:rPr>
          <w:b/>
          <w:noProof/>
        </w:rPr>
      </w:pPr>
    </w:p>
    <w:p w:rsidR="00B15BC8" w:rsidRDefault="00B15BC8" w:rsidP="00BF5653">
      <w:pPr>
        <w:pStyle w:val="NormalWeb"/>
        <w:rPr>
          <w:rStyle w:val="content"/>
          <w:rFonts w:ascii="Cambria" w:hAnsi="Cambria"/>
          <w:i/>
          <w:sz w:val="22"/>
          <w:szCs w:val="22"/>
        </w:rPr>
      </w:pPr>
    </w:p>
    <w:p w:rsidR="00B15BC8" w:rsidRDefault="00B15BC8" w:rsidP="00BF5653">
      <w:pPr>
        <w:pStyle w:val="NormalWeb"/>
        <w:rPr>
          <w:rStyle w:val="content"/>
          <w:rFonts w:ascii="Cambria" w:hAnsi="Cambria"/>
          <w:i/>
          <w:sz w:val="22"/>
          <w:szCs w:val="22"/>
        </w:rPr>
      </w:pPr>
    </w:p>
    <w:p w:rsidR="00B15BC8" w:rsidRDefault="00B15BC8" w:rsidP="00BF5653">
      <w:pPr>
        <w:pStyle w:val="NormalWeb"/>
        <w:rPr>
          <w:rStyle w:val="content"/>
          <w:rFonts w:ascii="Cambria" w:hAnsi="Cambria"/>
          <w:i/>
          <w:sz w:val="22"/>
          <w:szCs w:val="22"/>
        </w:rPr>
      </w:pPr>
    </w:p>
    <w:p w:rsidR="00B15BC8" w:rsidRDefault="00B15BC8" w:rsidP="00BF5653">
      <w:pPr>
        <w:pStyle w:val="NormalWeb"/>
        <w:rPr>
          <w:rStyle w:val="content"/>
          <w:rFonts w:ascii="Cambria" w:hAnsi="Cambria"/>
          <w:i/>
          <w:sz w:val="22"/>
          <w:szCs w:val="22"/>
        </w:rPr>
      </w:pPr>
    </w:p>
    <w:p w:rsidR="00B15BC8" w:rsidRDefault="00B15BC8" w:rsidP="00BF5653">
      <w:pPr>
        <w:pStyle w:val="NormalWeb"/>
        <w:rPr>
          <w:rStyle w:val="content"/>
          <w:rFonts w:ascii="Cambria" w:hAnsi="Cambria"/>
          <w:i/>
          <w:sz w:val="22"/>
          <w:szCs w:val="22"/>
        </w:rPr>
      </w:pPr>
    </w:p>
    <w:p w:rsidR="00B15BC8" w:rsidRDefault="00B15BC8" w:rsidP="00BF5653">
      <w:pPr>
        <w:pStyle w:val="NormalWeb"/>
        <w:rPr>
          <w:rStyle w:val="content"/>
          <w:rFonts w:ascii="Cambria" w:hAnsi="Cambria"/>
          <w:i/>
          <w:sz w:val="22"/>
          <w:szCs w:val="22"/>
        </w:rPr>
      </w:pPr>
    </w:p>
    <w:p w:rsidR="00B15BC8" w:rsidRDefault="00B15BC8" w:rsidP="00BF5653">
      <w:pPr>
        <w:pStyle w:val="NormalWeb"/>
        <w:rPr>
          <w:rStyle w:val="content"/>
          <w:rFonts w:ascii="Cambria" w:hAnsi="Cambria"/>
          <w:i/>
          <w:sz w:val="22"/>
          <w:szCs w:val="22"/>
        </w:rPr>
      </w:pPr>
    </w:p>
    <w:p w:rsidR="00B15BC8" w:rsidRDefault="00B15BC8" w:rsidP="00BF5653">
      <w:pPr>
        <w:pStyle w:val="NormalWeb"/>
        <w:rPr>
          <w:rStyle w:val="content"/>
          <w:rFonts w:ascii="Cambria" w:hAnsi="Cambria"/>
          <w:i/>
          <w:sz w:val="22"/>
          <w:szCs w:val="22"/>
        </w:rPr>
      </w:pPr>
    </w:p>
    <w:p w:rsidR="00BF5653" w:rsidRPr="00611A26" w:rsidRDefault="00BF5653" w:rsidP="00BF5653">
      <w:pPr>
        <w:pStyle w:val="NormalWeb"/>
        <w:rPr>
          <w:rFonts w:ascii="Cambria" w:hAnsi="Cambria"/>
          <w:b/>
          <w:bCs/>
          <w:sz w:val="22"/>
          <w:szCs w:val="22"/>
        </w:rPr>
      </w:pPr>
      <w:r w:rsidRPr="00611A26">
        <w:rPr>
          <w:rStyle w:val="content"/>
          <w:rFonts w:ascii="Cambria" w:hAnsi="Cambria"/>
          <w:i/>
          <w:sz w:val="22"/>
          <w:szCs w:val="22"/>
        </w:rPr>
        <w:t>Source:</w:t>
      </w:r>
      <w:r w:rsidRPr="00611A26">
        <w:rPr>
          <w:rStyle w:val="content"/>
          <w:rFonts w:ascii="Cambria" w:hAnsi="Cambria"/>
          <w:sz w:val="22"/>
          <w:szCs w:val="22"/>
        </w:rPr>
        <w:t xml:space="preserve"> U.S. Census Bureau</w:t>
      </w:r>
    </w:p>
    <w:p w:rsidR="00BF5653" w:rsidRPr="00074652" w:rsidRDefault="00BF5653" w:rsidP="00BF5653">
      <w:pPr>
        <w:pStyle w:val="Heading5"/>
        <w:rPr>
          <w:color w:val="auto"/>
        </w:rPr>
      </w:pPr>
      <w:r w:rsidRPr="00074652">
        <w:rPr>
          <w:color w:val="auto"/>
        </w:rPr>
        <w:t>Discussion</w:t>
      </w:r>
    </w:p>
    <w:p w:rsidR="00BF5653" w:rsidRPr="00956018" w:rsidRDefault="00BF5653" w:rsidP="00BF5653">
      <w:pPr>
        <w:autoSpaceDE w:val="0"/>
        <w:autoSpaceDN w:val="0"/>
        <w:adjustRightInd w:val="0"/>
        <w:spacing w:after="0" w:line="240" w:lineRule="auto"/>
        <w:rPr>
          <w:szCs w:val="24"/>
        </w:rPr>
      </w:pPr>
      <w:r w:rsidRPr="00956018">
        <w:rPr>
          <w:bCs/>
          <w:szCs w:val="24"/>
        </w:rPr>
        <w:t>Ethnicity</w:t>
      </w:r>
      <w:r w:rsidRPr="00956018">
        <w:rPr>
          <w:szCs w:val="24"/>
        </w:rPr>
        <w:t xml:space="preserve"> plays a role in assessing the health needs of the community.  Cultural barriers may exist with individuals who do not speak English, which may keep them from seeking health care services due to health care professionals misunderstanding</w:t>
      </w:r>
      <w:r w:rsidR="00416FD8" w:rsidRPr="00956018">
        <w:rPr>
          <w:szCs w:val="24"/>
        </w:rPr>
        <w:t xml:space="preserve"> </w:t>
      </w:r>
      <w:r w:rsidRPr="00956018">
        <w:rPr>
          <w:szCs w:val="24"/>
        </w:rPr>
        <w:t xml:space="preserve">their needs.  Figure 1.4 shows the distribution of </w:t>
      </w:r>
      <w:r w:rsidR="0048303A" w:rsidRPr="00956018">
        <w:rPr>
          <w:szCs w:val="24"/>
        </w:rPr>
        <w:t>ethnic groups within Linn</w:t>
      </w:r>
      <w:r w:rsidRPr="00956018">
        <w:rPr>
          <w:szCs w:val="24"/>
        </w:rPr>
        <w:t xml:space="preserve"> County</w:t>
      </w:r>
      <w:r w:rsidR="00B15BC8" w:rsidRPr="00956018">
        <w:rPr>
          <w:szCs w:val="24"/>
        </w:rPr>
        <w:t xml:space="preserve"> as well as the state of Missouri</w:t>
      </w:r>
      <w:r w:rsidRPr="00956018">
        <w:rPr>
          <w:szCs w:val="24"/>
        </w:rPr>
        <w:t>.  According to the Census Bureau, the Hispanic population is expected to grow 45 percent from 2010 to 2030, and 60 percent from 2030 to 2050.  It is imperative to understand and address cultural barriers for this growing population.</w:t>
      </w:r>
      <w:r w:rsidR="00B15BC8" w:rsidRPr="00956018">
        <w:rPr>
          <w:szCs w:val="24"/>
        </w:rPr>
        <w:t xml:space="preserve">  </w:t>
      </w:r>
    </w:p>
    <w:p w:rsidR="00BF5653" w:rsidRDefault="00BF5653" w:rsidP="00BF5653">
      <w:pPr>
        <w:autoSpaceDE w:val="0"/>
        <w:autoSpaceDN w:val="0"/>
        <w:adjustRightInd w:val="0"/>
        <w:spacing w:after="0" w:line="240" w:lineRule="auto"/>
        <w:rPr>
          <w:szCs w:val="24"/>
        </w:rPr>
      </w:pPr>
    </w:p>
    <w:p w:rsidR="00BF5653" w:rsidRDefault="00BF5653" w:rsidP="00BF5653">
      <w:pPr>
        <w:autoSpaceDE w:val="0"/>
        <w:autoSpaceDN w:val="0"/>
        <w:adjustRightInd w:val="0"/>
        <w:spacing w:after="0" w:line="240" w:lineRule="auto"/>
        <w:rPr>
          <w:szCs w:val="24"/>
        </w:rPr>
      </w:pPr>
    </w:p>
    <w:p w:rsidR="00BF5653" w:rsidRDefault="00BF5653" w:rsidP="00BF5653">
      <w:pPr>
        <w:autoSpaceDE w:val="0"/>
        <w:autoSpaceDN w:val="0"/>
        <w:adjustRightInd w:val="0"/>
        <w:spacing w:after="0" w:line="240" w:lineRule="auto"/>
        <w:rPr>
          <w:szCs w:val="24"/>
        </w:rPr>
      </w:pPr>
    </w:p>
    <w:p w:rsidR="00BF5653" w:rsidRDefault="00BF5653" w:rsidP="00BF5653">
      <w:pPr>
        <w:autoSpaceDE w:val="0"/>
        <w:autoSpaceDN w:val="0"/>
        <w:adjustRightInd w:val="0"/>
        <w:spacing w:after="0" w:line="240" w:lineRule="auto"/>
        <w:rPr>
          <w:szCs w:val="24"/>
        </w:rPr>
      </w:pPr>
    </w:p>
    <w:p w:rsidR="00BF5653" w:rsidRDefault="00BF5653" w:rsidP="00BF5653">
      <w:pPr>
        <w:autoSpaceDE w:val="0"/>
        <w:autoSpaceDN w:val="0"/>
        <w:adjustRightInd w:val="0"/>
        <w:spacing w:after="0" w:line="240" w:lineRule="auto"/>
        <w:rPr>
          <w:szCs w:val="24"/>
        </w:rPr>
      </w:pPr>
    </w:p>
    <w:p w:rsidR="00BF5653" w:rsidRDefault="00BF5653" w:rsidP="00BF5653">
      <w:pPr>
        <w:autoSpaceDE w:val="0"/>
        <w:autoSpaceDN w:val="0"/>
        <w:adjustRightInd w:val="0"/>
        <w:spacing w:after="0" w:line="240" w:lineRule="auto"/>
        <w:rPr>
          <w:szCs w:val="24"/>
        </w:rPr>
      </w:pPr>
    </w:p>
    <w:p w:rsidR="00BF5653" w:rsidRDefault="00BF5653" w:rsidP="00BF5653">
      <w:pPr>
        <w:autoSpaceDE w:val="0"/>
        <w:autoSpaceDN w:val="0"/>
        <w:adjustRightInd w:val="0"/>
        <w:spacing w:after="0" w:line="240" w:lineRule="auto"/>
        <w:rPr>
          <w:szCs w:val="24"/>
        </w:rPr>
      </w:pPr>
    </w:p>
    <w:p w:rsidR="00BF5653" w:rsidRDefault="00BF5653" w:rsidP="00BF5653">
      <w:pPr>
        <w:autoSpaceDE w:val="0"/>
        <w:autoSpaceDN w:val="0"/>
        <w:adjustRightInd w:val="0"/>
        <w:spacing w:after="0" w:line="240" w:lineRule="auto"/>
        <w:rPr>
          <w:szCs w:val="24"/>
        </w:rPr>
      </w:pPr>
    </w:p>
    <w:p w:rsidR="00BF5653" w:rsidRDefault="00BF5653" w:rsidP="00BF5653">
      <w:pPr>
        <w:autoSpaceDE w:val="0"/>
        <w:autoSpaceDN w:val="0"/>
        <w:adjustRightInd w:val="0"/>
        <w:spacing w:after="0" w:line="240" w:lineRule="auto"/>
        <w:rPr>
          <w:szCs w:val="24"/>
        </w:rPr>
      </w:pPr>
    </w:p>
    <w:p w:rsidR="00BF5653" w:rsidRDefault="00BF5653" w:rsidP="00B15BC8">
      <w:pPr>
        <w:pStyle w:val="Heading5"/>
        <w:jc w:val="left"/>
        <w:rPr>
          <w:lang w:val="en-US"/>
        </w:rPr>
      </w:pPr>
      <w:r w:rsidRPr="00717B09">
        <w:t xml:space="preserve"> </w:t>
      </w:r>
      <w:bookmarkStart w:id="38" w:name="_Toc318638262"/>
    </w:p>
    <w:p w:rsidR="00216632" w:rsidRPr="00216632" w:rsidRDefault="00216632" w:rsidP="00216632">
      <w:pPr>
        <w:rPr>
          <w:lang w:eastAsia="x-none"/>
        </w:rPr>
      </w:pPr>
    </w:p>
    <w:p w:rsidR="00754FD5" w:rsidRPr="00754FD5" w:rsidRDefault="00754FD5" w:rsidP="00754FD5">
      <w:pPr>
        <w:rPr>
          <w:lang w:eastAsia="x-none"/>
        </w:rPr>
      </w:pPr>
    </w:p>
    <w:p w:rsidR="00BF5653" w:rsidRPr="00DC3379" w:rsidRDefault="00DE400C" w:rsidP="00BF5653">
      <w:pPr>
        <w:pStyle w:val="Heading3"/>
      </w:pPr>
      <w:bookmarkStart w:id="39" w:name="_Toc318638261"/>
      <w:bookmarkStart w:id="40" w:name="_Toc229126451"/>
      <w:r>
        <w:lastRenderedPageBreak/>
        <w:t>R</w:t>
      </w:r>
      <w:r w:rsidR="00BF5653" w:rsidRPr="00717B09">
        <w:t xml:space="preserve">eligion </w:t>
      </w:r>
      <w:r w:rsidR="00754FD5">
        <w:rPr>
          <w:lang w:val="en-US"/>
        </w:rPr>
        <w:t xml:space="preserve">(2010) </w:t>
      </w:r>
      <w:r>
        <w:t>– F</w:t>
      </w:r>
      <w:r w:rsidR="00BF5653" w:rsidRPr="00717B09">
        <w:t>igure 1.5</w:t>
      </w:r>
      <w:bookmarkEnd w:id="38"/>
      <w:bookmarkEnd w:id="39"/>
      <w:bookmarkEnd w:id="40"/>
    </w:p>
    <w:p w:rsidR="00BF5653" w:rsidRDefault="00FA23ED" w:rsidP="00BF5653">
      <w:r>
        <w:rPr>
          <w:noProof/>
        </w:rPr>
        <w:drawing>
          <wp:anchor distT="14999" distB="18749" distL="128104" distR="135581" simplePos="0" relativeHeight="251644928" behindDoc="1" locked="0" layoutInCell="1" allowOverlap="1">
            <wp:simplePos x="0" y="0"/>
            <wp:positionH relativeFrom="column">
              <wp:posOffset>128104</wp:posOffset>
            </wp:positionH>
            <wp:positionV relativeFrom="paragraph">
              <wp:posOffset>5474</wp:posOffset>
            </wp:positionV>
            <wp:extent cx="5679440" cy="3280410"/>
            <wp:effectExtent l="19050" t="19050" r="16510" b="15240"/>
            <wp:wrapNone/>
            <wp:docPr id="6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F5653" w:rsidRDefault="00BF5653" w:rsidP="00BF5653"/>
    <w:p w:rsidR="00BF5653" w:rsidRDefault="00BF5653" w:rsidP="00BF5653"/>
    <w:p w:rsidR="00BF5653" w:rsidRDefault="00BF5653" w:rsidP="00BF5653"/>
    <w:p w:rsidR="00BF5653" w:rsidRDefault="00BF5653" w:rsidP="00BF5653"/>
    <w:p w:rsidR="00BF5653" w:rsidRDefault="00BF5653" w:rsidP="00BF5653"/>
    <w:p w:rsidR="00BF5653" w:rsidRDefault="00BF5653" w:rsidP="00BF5653"/>
    <w:p w:rsidR="00BF5653" w:rsidRDefault="00BF5653" w:rsidP="00BF5653"/>
    <w:p w:rsidR="00BF5653" w:rsidRDefault="00BF5653" w:rsidP="00BF5653"/>
    <w:p w:rsidR="00216632" w:rsidRDefault="00216632" w:rsidP="00BF5653"/>
    <w:p w:rsidR="00216632" w:rsidRDefault="00216632" w:rsidP="00BF5653"/>
    <w:p w:rsidR="00216632" w:rsidRDefault="00216632" w:rsidP="00BF5653"/>
    <w:p w:rsidR="00BF5653" w:rsidRDefault="00BF5653" w:rsidP="00BF5653">
      <w:r w:rsidRPr="00DC3379">
        <w:rPr>
          <w:i/>
        </w:rPr>
        <w:t>Source</w:t>
      </w:r>
      <w:r>
        <w:t xml:space="preserve">: </w:t>
      </w:r>
      <w:r w:rsidR="0012127F">
        <w:t>The Association of Religion Data Archives</w:t>
      </w:r>
      <w:r w:rsidR="00201454">
        <w:t xml:space="preserve"> </w:t>
      </w:r>
    </w:p>
    <w:p w:rsidR="00BF5653" w:rsidRPr="00074652" w:rsidRDefault="00BF5653" w:rsidP="00BF5653">
      <w:pPr>
        <w:pStyle w:val="Heading5"/>
        <w:rPr>
          <w:color w:val="auto"/>
        </w:rPr>
      </w:pPr>
      <w:r w:rsidRPr="00074652">
        <w:rPr>
          <w:color w:val="auto"/>
        </w:rPr>
        <w:t>Discussion</w:t>
      </w:r>
    </w:p>
    <w:p w:rsidR="00BF5653" w:rsidRDefault="00216632" w:rsidP="00BF5653">
      <w:r>
        <w:t>Figure 1.5 represents the major reli</w:t>
      </w:r>
      <w:r w:rsidR="002B209C">
        <w:t>gious stakeholders in Linn</w:t>
      </w:r>
      <w:r>
        <w:t xml:space="preserve"> County. </w:t>
      </w:r>
      <w:r w:rsidR="00BF5653">
        <w:t>Numerous researchers have</w:t>
      </w:r>
      <w:r w:rsidR="00BF5653" w:rsidRPr="00291D00">
        <w:t xml:space="preserve"> devoted significant attention to understanding the link between</w:t>
      </w:r>
      <w:r w:rsidR="00BF5653">
        <w:t xml:space="preserve"> health and personal religious beliefs and practices</w:t>
      </w:r>
      <w:r w:rsidR="00BF5653" w:rsidRPr="00291D00">
        <w:t xml:space="preserve">, </w:t>
      </w:r>
      <w:r w:rsidR="00BF5653">
        <w:t xml:space="preserve">to determine whether a correlation exists.  </w:t>
      </w:r>
      <w:r w:rsidR="00BF5653" w:rsidRPr="00291D00">
        <w:t xml:space="preserve"> </w:t>
      </w:r>
      <w:r w:rsidR="00BF5653">
        <w:t xml:space="preserve">Some studies indicate that </w:t>
      </w:r>
      <w:r w:rsidR="00BF5653" w:rsidRPr="00291D00">
        <w:t>people</w:t>
      </w:r>
      <w:r w:rsidR="00BF5653">
        <w:t xml:space="preserve"> who belong to a denominational group</w:t>
      </w:r>
      <w:r w:rsidR="00BF5653" w:rsidRPr="00291D00">
        <w:t xml:space="preserve"> tend to have better health</w:t>
      </w:r>
      <w:r w:rsidR="00BF5653">
        <w:t>, as a result of social support provided by the community members.</w:t>
      </w:r>
      <w:r w:rsidR="00416FD8">
        <w:t xml:space="preserve"> </w:t>
      </w:r>
    </w:p>
    <w:p w:rsidR="00BF5653" w:rsidRDefault="00BF5653" w:rsidP="00BF5653"/>
    <w:p w:rsidR="00BF5653" w:rsidRDefault="00BF5653" w:rsidP="00BF5653"/>
    <w:p w:rsidR="00BF5653" w:rsidRDefault="00BF5653" w:rsidP="00BF5653"/>
    <w:p w:rsidR="00BF5653" w:rsidRDefault="00BF5653" w:rsidP="00BF5653"/>
    <w:p w:rsidR="00BF5653" w:rsidRDefault="00BF5653" w:rsidP="00BF5653"/>
    <w:p w:rsidR="00BF5653" w:rsidRDefault="00BF5653" w:rsidP="00BF5653"/>
    <w:p w:rsidR="0012127F" w:rsidRDefault="0012127F" w:rsidP="00BF5653"/>
    <w:p w:rsidR="00BF5653" w:rsidRDefault="00BF5653" w:rsidP="00BF5653"/>
    <w:p w:rsidR="00216632" w:rsidRDefault="00216632" w:rsidP="00BF5653"/>
    <w:p w:rsidR="00BF5653" w:rsidRPr="00074652" w:rsidRDefault="00FA23ED" w:rsidP="00BF5653">
      <w:pPr>
        <w:pStyle w:val="Heading3"/>
        <w:rPr>
          <w:color w:val="auto"/>
          <w:highlight w:val="black"/>
        </w:rPr>
      </w:pPr>
      <w:bookmarkStart w:id="41" w:name="_Toc318638264"/>
      <w:bookmarkStart w:id="42" w:name="_Toc229126452"/>
      <w:r>
        <w:rPr>
          <w:noProof/>
          <w:lang w:val="en-US" w:eastAsia="en-US"/>
        </w:rPr>
        <w:lastRenderedPageBreak/>
        <w:drawing>
          <wp:anchor distT="14218" distB="21328" distL="129893" distR="136715" simplePos="0" relativeHeight="251648000" behindDoc="1" locked="0" layoutInCell="1" allowOverlap="1">
            <wp:simplePos x="0" y="0"/>
            <wp:positionH relativeFrom="column">
              <wp:posOffset>129893</wp:posOffset>
            </wp:positionH>
            <wp:positionV relativeFrom="paragraph">
              <wp:posOffset>471418</wp:posOffset>
            </wp:positionV>
            <wp:extent cx="5676900" cy="3199130"/>
            <wp:effectExtent l="19050" t="19050" r="19050" b="20320"/>
            <wp:wrapNone/>
            <wp:docPr id="6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DE400C">
        <w:rPr>
          <w:color w:val="auto"/>
        </w:rPr>
        <w:t>Educational level – F</w:t>
      </w:r>
      <w:r w:rsidR="00BF5653">
        <w:rPr>
          <w:color w:val="auto"/>
        </w:rPr>
        <w:t>igure 1.5</w:t>
      </w:r>
      <w:bookmarkEnd w:id="41"/>
      <w:bookmarkEnd w:id="42"/>
    </w:p>
    <w:p w:rsidR="00BF5653" w:rsidRPr="00074652" w:rsidRDefault="00BF5653" w:rsidP="00BF5653"/>
    <w:p w:rsidR="00AF45FA" w:rsidRDefault="00AF45FA" w:rsidP="00BF5653">
      <w:pPr>
        <w:rPr>
          <w:b/>
          <w:noProof/>
        </w:rPr>
      </w:pPr>
    </w:p>
    <w:p w:rsidR="00AF45FA" w:rsidRDefault="00AF45FA" w:rsidP="00BF5653">
      <w:pPr>
        <w:rPr>
          <w:b/>
          <w:noProof/>
        </w:rPr>
      </w:pPr>
    </w:p>
    <w:p w:rsidR="00AF45FA" w:rsidRDefault="00AF45FA" w:rsidP="00BF5653">
      <w:pPr>
        <w:rPr>
          <w:rStyle w:val="content"/>
          <w:i/>
          <w:szCs w:val="24"/>
        </w:rPr>
      </w:pPr>
    </w:p>
    <w:p w:rsidR="00AF45FA" w:rsidRDefault="00AF45FA" w:rsidP="00BF5653">
      <w:pPr>
        <w:rPr>
          <w:rStyle w:val="content"/>
          <w:i/>
          <w:szCs w:val="24"/>
        </w:rPr>
      </w:pPr>
    </w:p>
    <w:p w:rsidR="00AF45FA" w:rsidRDefault="00AF45FA" w:rsidP="00BF5653">
      <w:pPr>
        <w:rPr>
          <w:rStyle w:val="content"/>
          <w:i/>
          <w:szCs w:val="24"/>
        </w:rPr>
      </w:pPr>
    </w:p>
    <w:p w:rsidR="00AF45FA" w:rsidRDefault="00AF45FA" w:rsidP="00BF5653">
      <w:pPr>
        <w:rPr>
          <w:rStyle w:val="content"/>
          <w:i/>
          <w:szCs w:val="24"/>
        </w:rPr>
      </w:pPr>
    </w:p>
    <w:p w:rsidR="00AF45FA" w:rsidRDefault="00AF45FA" w:rsidP="00BF5653">
      <w:pPr>
        <w:rPr>
          <w:rStyle w:val="content"/>
          <w:i/>
          <w:szCs w:val="24"/>
        </w:rPr>
      </w:pPr>
    </w:p>
    <w:p w:rsidR="00AF45FA" w:rsidRDefault="00AF45FA" w:rsidP="00BF5653">
      <w:pPr>
        <w:rPr>
          <w:rStyle w:val="content"/>
          <w:i/>
          <w:szCs w:val="24"/>
        </w:rPr>
      </w:pPr>
    </w:p>
    <w:p w:rsidR="00AF45FA" w:rsidRDefault="00AF45FA" w:rsidP="00BF5653">
      <w:pPr>
        <w:rPr>
          <w:rStyle w:val="content"/>
          <w:i/>
          <w:szCs w:val="24"/>
        </w:rPr>
      </w:pPr>
    </w:p>
    <w:p w:rsidR="00AF45FA" w:rsidRDefault="00AF45FA" w:rsidP="00BF5653">
      <w:pPr>
        <w:rPr>
          <w:rStyle w:val="content"/>
          <w:i/>
          <w:szCs w:val="24"/>
        </w:rPr>
      </w:pPr>
    </w:p>
    <w:p w:rsidR="00AF45FA" w:rsidRDefault="00AF45FA" w:rsidP="00BF5653">
      <w:pPr>
        <w:rPr>
          <w:rStyle w:val="content"/>
          <w:i/>
          <w:szCs w:val="24"/>
        </w:rPr>
      </w:pPr>
    </w:p>
    <w:p w:rsidR="00BF5653" w:rsidRPr="00074652" w:rsidRDefault="00BF5653" w:rsidP="00BF5653">
      <w:pPr>
        <w:rPr>
          <w:b/>
          <w:bCs/>
        </w:rPr>
      </w:pPr>
      <w:r w:rsidRPr="00074652">
        <w:rPr>
          <w:rStyle w:val="content"/>
          <w:i/>
          <w:szCs w:val="24"/>
        </w:rPr>
        <w:t>Source:</w:t>
      </w:r>
      <w:r w:rsidRPr="00074652">
        <w:rPr>
          <w:rStyle w:val="content"/>
          <w:szCs w:val="24"/>
        </w:rPr>
        <w:t xml:space="preserve"> U.S. Census Bureau</w:t>
      </w:r>
      <w:r w:rsidR="003568A3">
        <w:rPr>
          <w:rStyle w:val="content"/>
          <w:szCs w:val="24"/>
        </w:rPr>
        <w:t xml:space="preserve"> Age 25+</w:t>
      </w:r>
    </w:p>
    <w:p w:rsidR="0051238D" w:rsidRPr="00074652" w:rsidRDefault="0051238D" w:rsidP="0051238D">
      <w:pPr>
        <w:pStyle w:val="Heading5"/>
        <w:spacing w:before="0"/>
        <w:rPr>
          <w:color w:val="auto"/>
        </w:rPr>
      </w:pPr>
      <w:r w:rsidRPr="00074652">
        <w:rPr>
          <w:color w:val="auto"/>
        </w:rPr>
        <w:t>Discussion</w:t>
      </w:r>
    </w:p>
    <w:p w:rsidR="0051238D" w:rsidRPr="005122D2" w:rsidRDefault="0051238D" w:rsidP="0051238D">
      <w:pPr>
        <w:pStyle w:val="NormalWeb"/>
        <w:spacing w:before="0" w:beforeAutospacing="0" w:after="0" w:afterAutospacing="0"/>
        <w:rPr>
          <w:rFonts w:ascii="Cambria" w:hAnsi="Cambria"/>
          <w:sz w:val="22"/>
        </w:rPr>
      </w:pPr>
      <w:r w:rsidRPr="005122D2">
        <w:rPr>
          <w:rFonts w:ascii="Cambria" w:hAnsi="Cambria"/>
          <w:sz w:val="22"/>
        </w:rPr>
        <w:t xml:space="preserve">Studies have shown that college graduates generally tend to be healthier than non-college graduates.  Lower levels of educational attainment decrease the potential for higher income levels and occupation advancement, ultimately resulting in poorer levels of health. </w:t>
      </w:r>
    </w:p>
    <w:p w:rsidR="0051238D" w:rsidRPr="005122D2" w:rsidRDefault="0051238D" w:rsidP="0051238D">
      <w:pPr>
        <w:pStyle w:val="NormalWeb"/>
        <w:rPr>
          <w:rFonts w:ascii="Cambria" w:hAnsi="Cambria"/>
          <w:sz w:val="22"/>
        </w:rPr>
      </w:pPr>
      <w:r w:rsidRPr="005122D2">
        <w:rPr>
          <w:rFonts w:ascii="Cambria" w:hAnsi="Cambria"/>
          <w:sz w:val="22"/>
        </w:rPr>
        <w:t xml:space="preserve">Linn County has a high school diploma rate of 89.1 percent, compared to the overall U.S. rate of 86.7 percent.  Education is important in helping people understand the consequences of poor food choices, lack of exercise, or lifestyle habits that can be detrimental to one’s health. </w:t>
      </w:r>
    </w:p>
    <w:p w:rsidR="00BF5653" w:rsidRPr="00074652" w:rsidRDefault="00BF5653" w:rsidP="00BF5653">
      <w:pPr>
        <w:pStyle w:val="Heading2"/>
        <w:rPr>
          <w:color w:val="auto"/>
        </w:rPr>
      </w:pPr>
      <w:r w:rsidRPr="00074652">
        <w:rPr>
          <w:color w:val="auto"/>
        </w:rPr>
        <w:br w:type="page"/>
      </w:r>
      <w:bookmarkStart w:id="43" w:name="_Toc292981199"/>
      <w:bookmarkStart w:id="44" w:name="_Toc318638265"/>
      <w:bookmarkStart w:id="45" w:name="_Toc229126453"/>
      <w:r w:rsidRPr="00074652">
        <w:rPr>
          <w:color w:val="auto"/>
        </w:rPr>
        <w:lastRenderedPageBreak/>
        <w:t>Employment Status</w:t>
      </w:r>
      <w:bookmarkEnd w:id="43"/>
      <w:bookmarkEnd w:id="44"/>
      <w:bookmarkEnd w:id="45"/>
    </w:p>
    <w:tbl>
      <w:tblPr>
        <w:tblW w:w="0" w:type="auto"/>
        <w:jc w:val="center"/>
        <w:tblBorders>
          <w:top w:val="single" w:sz="18" w:space="0" w:color="6076B4"/>
          <w:left w:val="single" w:sz="18" w:space="0" w:color="6076B4"/>
          <w:bottom w:val="single" w:sz="18" w:space="0" w:color="6076B4"/>
          <w:right w:val="single" w:sz="18" w:space="0" w:color="6076B4"/>
          <w:insideH w:val="single" w:sz="18" w:space="0" w:color="6076B4"/>
          <w:insideV w:val="single" w:sz="18" w:space="0" w:color="6076B4"/>
        </w:tblBorders>
        <w:tblLook w:val="00A0" w:firstRow="1" w:lastRow="0" w:firstColumn="1" w:lastColumn="0" w:noHBand="0" w:noVBand="0"/>
      </w:tblPr>
      <w:tblGrid>
        <w:gridCol w:w="2246"/>
        <w:gridCol w:w="1506"/>
        <w:gridCol w:w="1778"/>
        <w:gridCol w:w="2089"/>
      </w:tblGrid>
      <w:tr w:rsidR="00BF5653" w:rsidRPr="00074652">
        <w:trPr>
          <w:jc w:val="center"/>
        </w:trPr>
        <w:tc>
          <w:tcPr>
            <w:tcW w:w="0" w:type="auto"/>
          </w:tcPr>
          <w:p w:rsidR="00BF5653" w:rsidRPr="00074652" w:rsidRDefault="00BF5653" w:rsidP="00BF5653">
            <w:pPr>
              <w:pStyle w:val="NormalWeb"/>
              <w:rPr>
                <w:rFonts w:ascii="Cambria" w:hAnsi="Cambria"/>
                <w:b/>
                <w:bCs/>
                <w:sz w:val="22"/>
              </w:rPr>
            </w:pPr>
            <w:r w:rsidRPr="00074652">
              <w:rPr>
                <w:rFonts w:ascii="Cambria" w:hAnsi="Cambria"/>
                <w:b/>
                <w:bCs/>
                <w:sz w:val="22"/>
              </w:rPr>
              <w:t xml:space="preserve">Civilian Labor Force </w:t>
            </w:r>
          </w:p>
        </w:tc>
        <w:tc>
          <w:tcPr>
            <w:tcW w:w="0" w:type="auto"/>
          </w:tcPr>
          <w:p w:rsidR="00BF5653" w:rsidRPr="00074652" w:rsidRDefault="00BF5653" w:rsidP="00BF5653">
            <w:pPr>
              <w:pStyle w:val="NormalWeb"/>
              <w:rPr>
                <w:rFonts w:ascii="Cambria" w:hAnsi="Cambria"/>
                <w:b/>
                <w:bCs/>
                <w:sz w:val="22"/>
              </w:rPr>
            </w:pPr>
            <w:r w:rsidRPr="00074652">
              <w:rPr>
                <w:rFonts w:ascii="Cambria" w:hAnsi="Cambria"/>
                <w:b/>
                <w:bCs/>
                <w:sz w:val="22"/>
              </w:rPr>
              <w:t xml:space="preserve">Employment </w:t>
            </w:r>
          </w:p>
        </w:tc>
        <w:tc>
          <w:tcPr>
            <w:tcW w:w="0" w:type="auto"/>
          </w:tcPr>
          <w:p w:rsidR="00BF5653" w:rsidRPr="00074652" w:rsidRDefault="00BF5653" w:rsidP="00BF5653">
            <w:pPr>
              <w:pStyle w:val="NormalWeb"/>
              <w:rPr>
                <w:rFonts w:ascii="Cambria" w:hAnsi="Cambria"/>
                <w:b/>
                <w:bCs/>
                <w:sz w:val="22"/>
              </w:rPr>
            </w:pPr>
            <w:r w:rsidRPr="00074652">
              <w:rPr>
                <w:rFonts w:ascii="Cambria" w:hAnsi="Cambria"/>
                <w:b/>
                <w:bCs/>
                <w:sz w:val="22"/>
              </w:rPr>
              <w:t xml:space="preserve">Unemployment </w:t>
            </w:r>
          </w:p>
        </w:tc>
        <w:tc>
          <w:tcPr>
            <w:tcW w:w="0" w:type="auto"/>
          </w:tcPr>
          <w:p w:rsidR="00BF5653" w:rsidRPr="00074652" w:rsidRDefault="00BF5653" w:rsidP="00BF5653">
            <w:pPr>
              <w:pStyle w:val="NormalWeb"/>
              <w:rPr>
                <w:rFonts w:ascii="Cambria" w:hAnsi="Cambria"/>
                <w:b/>
                <w:bCs/>
                <w:sz w:val="22"/>
              </w:rPr>
            </w:pPr>
            <w:r w:rsidRPr="00074652">
              <w:rPr>
                <w:rFonts w:ascii="Cambria" w:hAnsi="Cambria"/>
                <w:b/>
                <w:bCs/>
                <w:sz w:val="22"/>
              </w:rPr>
              <w:t>Unemployment  %</w:t>
            </w:r>
          </w:p>
        </w:tc>
      </w:tr>
      <w:tr w:rsidR="00BF5653" w:rsidRPr="00074652">
        <w:trPr>
          <w:jc w:val="center"/>
        </w:trPr>
        <w:tc>
          <w:tcPr>
            <w:tcW w:w="0" w:type="auto"/>
            <w:shd w:val="clear" w:color="auto" w:fill="D7DCEC"/>
          </w:tcPr>
          <w:p w:rsidR="00BF5653" w:rsidRPr="00074652" w:rsidRDefault="00CF5F94" w:rsidP="00BF5653">
            <w:pPr>
              <w:pStyle w:val="NormalWeb"/>
              <w:jc w:val="center"/>
              <w:rPr>
                <w:rFonts w:ascii="Cambria" w:hAnsi="Cambria"/>
                <w:b/>
                <w:bCs/>
                <w:sz w:val="22"/>
              </w:rPr>
            </w:pPr>
            <w:r>
              <w:rPr>
                <w:rFonts w:ascii="Cambria" w:hAnsi="Cambria"/>
                <w:bCs/>
                <w:sz w:val="22"/>
              </w:rPr>
              <w:t>5,587</w:t>
            </w:r>
          </w:p>
        </w:tc>
        <w:tc>
          <w:tcPr>
            <w:tcW w:w="0" w:type="auto"/>
            <w:shd w:val="clear" w:color="auto" w:fill="D7DCEC"/>
          </w:tcPr>
          <w:p w:rsidR="00BF5653" w:rsidRPr="00074652" w:rsidRDefault="00E51724" w:rsidP="00BF5653">
            <w:pPr>
              <w:pStyle w:val="NormalWeb"/>
              <w:jc w:val="center"/>
              <w:rPr>
                <w:rFonts w:ascii="Cambria" w:hAnsi="Cambria"/>
                <w:sz w:val="22"/>
              </w:rPr>
            </w:pPr>
            <w:r>
              <w:rPr>
                <w:rFonts w:ascii="Cambria" w:hAnsi="Cambria"/>
                <w:sz w:val="22"/>
              </w:rPr>
              <w:t>4,595</w:t>
            </w:r>
          </w:p>
        </w:tc>
        <w:tc>
          <w:tcPr>
            <w:tcW w:w="0" w:type="auto"/>
            <w:shd w:val="clear" w:color="auto" w:fill="D7DCEC"/>
          </w:tcPr>
          <w:p w:rsidR="00BF5653" w:rsidRPr="00074652" w:rsidRDefault="00E51724" w:rsidP="00BF5653">
            <w:pPr>
              <w:pStyle w:val="NormalWeb"/>
              <w:jc w:val="center"/>
              <w:rPr>
                <w:rFonts w:ascii="Cambria" w:hAnsi="Cambria"/>
                <w:sz w:val="22"/>
              </w:rPr>
            </w:pPr>
            <w:r>
              <w:rPr>
                <w:rFonts w:ascii="Cambria" w:hAnsi="Cambria"/>
                <w:sz w:val="22"/>
              </w:rPr>
              <w:t>992</w:t>
            </w:r>
          </w:p>
        </w:tc>
        <w:tc>
          <w:tcPr>
            <w:tcW w:w="0" w:type="auto"/>
            <w:shd w:val="clear" w:color="auto" w:fill="D7DCEC"/>
          </w:tcPr>
          <w:p w:rsidR="00BF5653" w:rsidRPr="00074652" w:rsidRDefault="00E51724" w:rsidP="00BF5653">
            <w:pPr>
              <w:pStyle w:val="NormalWeb"/>
              <w:jc w:val="center"/>
              <w:rPr>
                <w:rFonts w:ascii="Cambria" w:hAnsi="Cambria"/>
                <w:sz w:val="22"/>
              </w:rPr>
            </w:pPr>
            <w:r>
              <w:rPr>
                <w:rFonts w:ascii="Cambria" w:hAnsi="Cambria"/>
                <w:sz w:val="22"/>
              </w:rPr>
              <w:t>7.9</w:t>
            </w:r>
            <w:r w:rsidR="00BF5653" w:rsidRPr="00074652">
              <w:rPr>
                <w:rFonts w:ascii="Cambria" w:hAnsi="Cambria"/>
                <w:sz w:val="22"/>
              </w:rPr>
              <w:t>%</w:t>
            </w:r>
          </w:p>
        </w:tc>
      </w:tr>
    </w:tbl>
    <w:p w:rsidR="00BF5653" w:rsidRPr="00074652" w:rsidRDefault="00BF5653" w:rsidP="00BF5653">
      <w:pPr>
        <w:pStyle w:val="Heading3"/>
        <w:rPr>
          <w:color w:val="auto"/>
          <w:highlight w:val="black"/>
        </w:rPr>
      </w:pPr>
      <w:bookmarkStart w:id="46" w:name="_Toc292981200"/>
      <w:bookmarkStart w:id="47" w:name="_Toc318638266"/>
      <w:bookmarkStart w:id="48" w:name="_Toc229126454"/>
      <w:r w:rsidRPr="00074652">
        <w:rPr>
          <w:color w:val="auto"/>
        </w:rPr>
        <w:t>Employment by Sector</w:t>
      </w:r>
      <w:bookmarkEnd w:id="46"/>
      <w:r w:rsidR="00CC2BE3">
        <w:rPr>
          <w:color w:val="auto"/>
        </w:rPr>
        <w:t xml:space="preserve"> – F</w:t>
      </w:r>
      <w:r>
        <w:rPr>
          <w:color w:val="auto"/>
        </w:rPr>
        <w:t>igure 1.6</w:t>
      </w:r>
      <w:bookmarkEnd w:id="47"/>
      <w:bookmarkEnd w:id="48"/>
    </w:p>
    <w:p w:rsidR="003043AE" w:rsidRPr="001B7A60" w:rsidRDefault="00FA23ED" w:rsidP="001B7A60">
      <w:pPr>
        <w:pStyle w:val="NormalWeb"/>
        <w:rPr>
          <w:rStyle w:val="content"/>
          <w:b/>
          <w:noProof/>
          <w:vertAlign w:val="subscript"/>
        </w:rPr>
      </w:pPr>
      <w:r>
        <w:rPr>
          <w:noProof/>
        </w:rPr>
        <w:drawing>
          <wp:anchor distT="0" distB="0" distL="114300" distR="114300" simplePos="0" relativeHeight="251645952" behindDoc="1" locked="0" layoutInCell="1" allowOverlap="1">
            <wp:simplePos x="0" y="0"/>
            <wp:positionH relativeFrom="column">
              <wp:posOffset>0</wp:posOffset>
            </wp:positionH>
            <wp:positionV relativeFrom="paragraph">
              <wp:posOffset>33655</wp:posOffset>
            </wp:positionV>
            <wp:extent cx="6057900" cy="4547870"/>
            <wp:effectExtent l="0" t="0" r="0" b="508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7900" cy="454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E95A65" w:rsidRDefault="00E95A65" w:rsidP="00BF5653">
      <w:pPr>
        <w:pStyle w:val="NormalWeb"/>
        <w:spacing w:before="0" w:beforeAutospacing="0" w:after="0" w:afterAutospacing="0"/>
        <w:rPr>
          <w:rStyle w:val="content"/>
          <w:rFonts w:ascii="Cambria" w:hAnsi="Cambria"/>
          <w:i/>
        </w:rPr>
      </w:pPr>
    </w:p>
    <w:p w:rsidR="00BF5653" w:rsidRPr="00611A26" w:rsidRDefault="00BF5653" w:rsidP="00BF5653">
      <w:pPr>
        <w:pStyle w:val="NormalWeb"/>
        <w:spacing w:before="0" w:beforeAutospacing="0" w:after="0" w:afterAutospacing="0"/>
        <w:rPr>
          <w:rFonts w:ascii="Cambria" w:hAnsi="Cambria"/>
          <w:b/>
          <w:bCs/>
        </w:rPr>
      </w:pPr>
      <w:r w:rsidRPr="00611A26">
        <w:rPr>
          <w:rStyle w:val="content"/>
          <w:rFonts w:ascii="Cambria" w:hAnsi="Cambria"/>
          <w:i/>
        </w:rPr>
        <w:t>Source:</w:t>
      </w:r>
      <w:r w:rsidRPr="00611A26">
        <w:rPr>
          <w:rStyle w:val="content"/>
          <w:rFonts w:ascii="Cambria" w:hAnsi="Cambria"/>
        </w:rPr>
        <w:t xml:space="preserve"> U.S. Census Bureau</w:t>
      </w:r>
      <w:r w:rsidR="00E51724">
        <w:rPr>
          <w:rStyle w:val="content"/>
          <w:rFonts w:ascii="Cambria" w:hAnsi="Cambria"/>
        </w:rPr>
        <w:t xml:space="preserve">, United States Bureau of Labor and Statistics </w:t>
      </w:r>
    </w:p>
    <w:p w:rsidR="00BF5653" w:rsidRPr="00074652" w:rsidRDefault="00BF5653" w:rsidP="00BF5653">
      <w:pPr>
        <w:pStyle w:val="Heading5"/>
        <w:rPr>
          <w:color w:val="auto"/>
        </w:rPr>
      </w:pPr>
      <w:r w:rsidRPr="00074652">
        <w:rPr>
          <w:color w:val="auto"/>
        </w:rPr>
        <w:t>Discussion</w:t>
      </w:r>
    </w:p>
    <w:p w:rsidR="00BF5653" w:rsidRPr="005122D2" w:rsidRDefault="00E51724" w:rsidP="00BF5653">
      <w:r w:rsidRPr="005122D2">
        <w:t>In 2011, Linn</w:t>
      </w:r>
      <w:r w:rsidR="00BF5653" w:rsidRPr="005122D2">
        <w:t xml:space="preserve"> County’s civilian labor force had an unemployme</w:t>
      </w:r>
      <w:r w:rsidRPr="005122D2">
        <w:t>nt rate of 10 percent. Although unemployment rates decreased</w:t>
      </w:r>
      <w:r w:rsidR="00BF5653" w:rsidRPr="005122D2">
        <w:t xml:space="preserve"> significan</w:t>
      </w:r>
      <w:r w:rsidRPr="005122D2">
        <w:t>tly in 2012</w:t>
      </w:r>
      <w:r w:rsidR="00BF5653" w:rsidRPr="005122D2">
        <w:t xml:space="preserve">, </w:t>
      </w:r>
      <w:r w:rsidRPr="005122D2">
        <w:t>Linn</w:t>
      </w:r>
      <w:r w:rsidR="00BF5653" w:rsidRPr="005122D2">
        <w:t xml:space="preserve"> County’s unemployment rate </w:t>
      </w:r>
      <w:r w:rsidRPr="005122D2">
        <w:t>remains just above the national average. In October 2012</w:t>
      </w:r>
      <w:r w:rsidR="00BF5653" w:rsidRPr="005122D2">
        <w:t>, L</w:t>
      </w:r>
      <w:r w:rsidRPr="005122D2">
        <w:t>inn</w:t>
      </w:r>
      <w:r w:rsidR="00BF5653" w:rsidRPr="005122D2">
        <w:t xml:space="preserve"> Co</w:t>
      </w:r>
      <w:r w:rsidRPr="005122D2">
        <w:t>unty’s unemployment rate was 7.9</w:t>
      </w:r>
      <w:r w:rsidR="00BF5653" w:rsidRPr="005122D2">
        <w:t xml:space="preserve"> percent compared to a U.S. unemployment </w:t>
      </w:r>
      <w:r w:rsidRPr="005122D2">
        <w:t>rate of 7.8</w:t>
      </w:r>
      <w:r w:rsidR="00BF5653" w:rsidRPr="005122D2">
        <w:t xml:space="preserve"> percent.  Figure 1.6 details the employment by sector.</w:t>
      </w:r>
      <w:r w:rsidR="007307D1" w:rsidRPr="005122D2">
        <w:t xml:space="preserve"> </w:t>
      </w:r>
    </w:p>
    <w:p w:rsidR="00BF5653" w:rsidRPr="00074652" w:rsidRDefault="00BF5653" w:rsidP="00BF5653">
      <w:pPr>
        <w:pStyle w:val="Heading3"/>
        <w:rPr>
          <w:color w:val="auto"/>
        </w:rPr>
      </w:pPr>
      <w:r w:rsidRPr="00074652">
        <w:rPr>
          <w:b/>
          <w:bCs/>
          <w:color w:val="auto"/>
        </w:rPr>
        <w:br w:type="page"/>
      </w:r>
      <w:bookmarkStart w:id="49" w:name="_Toc292981201"/>
      <w:bookmarkStart w:id="50" w:name="_Toc318638267"/>
      <w:bookmarkStart w:id="51" w:name="_Toc229126455"/>
      <w:r w:rsidR="00CC2BE3">
        <w:rPr>
          <w:color w:val="auto"/>
        </w:rPr>
        <w:lastRenderedPageBreak/>
        <w:t>Income L</w:t>
      </w:r>
      <w:r w:rsidRPr="00074652">
        <w:rPr>
          <w:color w:val="auto"/>
        </w:rPr>
        <w:t>evels</w:t>
      </w:r>
      <w:bookmarkEnd w:id="49"/>
      <w:r w:rsidR="00CC2BE3">
        <w:rPr>
          <w:color w:val="auto"/>
        </w:rPr>
        <w:t xml:space="preserve"> – F</w:t>
      </w:r>
      <w:r>
        <w:rPr>
          <w:color w:val="auto"/>
        </w:rPr>
        <w:t>igure 1.7</w:t>
      </w:r>
      <w:bookmarkEnd w:id="50"/>
      <w:bookmarkEnd w:id="51"/>
    </w:p>
    <w:p w:rsidR="008E7766" w:rsidRDefault="00FA23ED" w:rsidP="00BF5653">
      <w:pPr>
        <w:spacing w:before="100" w:beforeAutospacing="1" w:after="100" w:afterAutospacing="1" w:line="240" w:lineRule="auto"/>
        <w:rPr>
          <w:rFonts w:ascii="Times New Roman" w:hAnsi="Times New Roman"/>
          <w:noProof/>
          <w:sz w:val="24"/>
          <w:szCs w:val="24"/>
        </w:rPr>
      </w:pPr>
      <w:r>
        <w:rPr>
          <w:noProof/>
        </w:rPr>
        <w:drawing>
          <wp:anchor distT="10128" distB="15719" distL="126172" distR="132108" simplePos="0" relativeHeight="251672576" behindDoc="1" locked="0" layoutInCell="1" allowOverlap="1">
            <wp:simplePos x="0" y="0"/>
            <wp:positionH relativeFrom="column">
              <wp:posOffset>240472</wp:posOffset>
            </wp:positionH>
            <wp:positionV relativeFrom="paragraph">
              <wp:posOffset>-62897</wp:posOffset>
            </wp:positionV>
            <wp:extent cx="5342255" cy="3974465"/>
            <wp:effectExtent l="19050" t="19050" r="10795" b="26035"/>
            <wp:wrapNone/>
            <wp:docPr id="9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8E7766" w:rsidRDefault="008E7766" w:rsidP="00BF5653">
      <w:pPr>
        <w:spacing w:before="100" w:beforeAutospacing="1" w:after="100" w:afterAutospacing="1" w:line="240" w:lineRule="auto"/>
        <w:rPr>
          <w:rFonts w:ascii="Times New Roman" w:hAnsi="Times New Roman"/>
          <w:noProof/>
          <w:sz w:val="24"/>
          <w:szCs w:val="24"/>
        </w:rPr>
      </w:pPr>
    </w:p>
    <w:p w:rsidR="008E7766" w:rsidRDefault="008E7766" w:rsidP="00BF5653">
      <w:pPr>
        <w:spacing w:before="100" w:beforeAutospacing="1" w:after="100" w:afterAutospacing="1" w:line="240" w:lineRule="auto"/>
        <w:rPr>
          <w:rStyle w:val="content"/>
          <w:i/>
          <w:szCs w:val="24"/>
        </w:rPr>
      </w:pPr>
    </w:p>
    <w:p w:rsidR="008E7766" w:rsidRDefault="008E7766" w:rsidP="00BF5653">
      <w:pPr>
        <w:spacing w:before="100" w:beforeAutospacing="1" w:after="100" w:afterAutospacing="1" w:line="240" w:lineRule="auto"/>
        <w:rPr>
          <w:rStyle w:val="content"/>
          <w:i/>
          <w:szCs w:val="24"/>
        </w:rPr>
      </w:pPr>
    </w:p>
    <w:p w:rsidR="008E7766" w:rsidRDefault="008E7766" w:rsidP="00BF5653">
      <w:pPr>
        <w:spacing w:before="100" w:beforeAutospacing="1" w:after="100" w:afterAutospacing="1" w:line="240" w:lineRule="auto"/>
        <w:rPr>
          <w:rStyle w:val="content"/>
          <w:i/>
          <w:szCs w:val="24"/>
        </w:rPr>
      </w:pPr>
    </w:p>
    <w:p w:rsidR="008E7766" w:rsidRDefault="008E7766" w:rsidP="00BF5653">
      <w:pPr>
        <w:spacing w:before="100" w:beforeAutospacing="1" w:after="100" w:afterAutospacing="1" w:line="240" w:lineRule="auto"/>
        <w:rPr>
          <w:rStyle w:val="content"/>
          <w:i/>
          <w:szCs w:val="24"/>
        </w:rPr>
      </w:pPr>
    </w:p>
    <w:p w:rsidR="008E7766" w:rsidRDefault="008E7766" w:rsidP="00BF5653">
      <w:pPr>
        <w:spacing w:before="100" w:beforeAutospacing="1" w:after="100" w:afterAutospacing="1" w:line="240" w:lineRule="auto"/>
        <w:rPr>
          <w:rStyle w:val="content"/>
          <w:i/>
          <w:szCs w:val="24"/>
        </w:rPr>
      </w:pPr>
    </w:p>
    <w:p w:rsidR="008E7766" w:rsidRDefault="008E7766" w:rsidP="00BF5653">
      <w:pPr>
        <w:spacing w:before="100" w:beforeAutospacing="1" w:after="100" w:afterAutospacing="1" w:line="240" w:lineRule="auto"/>
        <w:rPr>
          <w:rStyle w:val="content"/>
          <w:i/>
          <w:szCs w:val="24"/>
        </w:rPr>
      </w:pPr>
    </w:p>
    <w:p w:rsidR="008E7766" w:rsidRDefault="008E7766" w:rsidP="00BF5653">
      <w:pPr>
        <w:spacing w:before="100" w:beforeAutospacing="1" w:after="100" w:afterAutospacing="1" w:line="240" w:lineRule="auto"/>
        <w:rPr>
          <w:rStyle w:val="content"/>
          <w:i/>
          <w:szCs w:val="24"/>
        </w:rPr>
      </w:pPr>
    </w:p>
    <w:p w:rsidR="008E7766" w:rsidRDefault="008E7766" w:rsidP="00BF5653">
      <w:pPr>
        <w:spacing w:before="100" w:beforeAutospacing="1" w:after="100" w:afterAutospacing="1" w:line="240" w:lineRule="auto"/>
        <w:rPr>
          <w:rStyle w:val="content"/>
          <w:i/>
          <w:szCs w:val="24"/>
        </w:rPr>
      </w:pPr>
    </w:p>
    <w:p w:rsidR="0051238D" w:rsidRDefault="0051238D" w:rsidP="00BF5653">
      <w:pPr>
        <w:spacing w:before="100" w:beforeAutospacing="1" w:after="100" w:afterAutospacing="1" w:line="240" w:lineRule="auto"/>
        <w:rPr>
          <w:rStyle w:val="content"/>
          <w:i/>
          <w:szCs w:val="24"/>
        </w:rPr>
      </w:pPr>
    </w:p>
    <w:p w:rsidR="0051238D" w:rsidRDefault="0051238D" w:rsidP="00BF5653">
      <w:pPr>
        <w:spacing w:before="100" w:beforeAutospacing="1" w:after="100" w:afterAutospacing="1" w:line="240" w:lineRule="auto"/>
        <w:rPr>
          <w:rStyle w:val="content"/>
          <w:i/>
          <w:szCs w:val="24"/>
        </w:rPr>
      </w:pPr>
    </w:p>
    <w:p w:rsidR="00BF5653" w:rsidRPr="00074652" w:rsidRDefault="00BF5653" w:rsidP="00BF5653">
      <w:pPr>
        <w:spacing w:before="100" w:beforeAutospacing="1" w:after="100" w:afterAutospacing="1" w:line="240" w:lineRule="auto"/>
        <w:rPr>
          <w:rStyle w:val="content"/>
          <w:rFonts w:ascii="Times New Roman" w:hAnsi="Times New Roman"/>
          <w:sz w:val="24"/>
          <w:szCs w:val="24"/>
        </w:rPr>
      </w:pPr>
      <w:r w:rsidRPr="00074652">
        <w:rPr>
          <w:rStyle w:val="content"/>
          <w:i/>
          <w:szCs w:val="24"/>
        </w:rPr>
        <w:t>Source:</w:t>
      </w:r>
      <w:r w:rsidRPr="00074652">
        <w:rPr>
          <w:rStyle w:val="content"/>
          <w:szCs w:val="24"/>
        </w:rPr>
        <w:t xml:space="preserve"> U.S. Census Bureau</w:t>
      </w:r>
    </w:p>
    <w:p w:rsidR="0051238D" w:rsidRPr="00074652" w:rsidRDefault="0051238D" w:rsidP="0051238D">
      <w:pPr>
        <w:pStyle w:val="Heading5"/>
        <w:rPr>
          <w:rStyle w:val="content"/>
          <w:color w:val="auto"/>
          <w:szCs w:val="24"/>
        </w:rPr>
      </w:pPr>
      <w:r w:rsidRPr="00074652">
        <w:rPr>
          <w:rStyle w:val="content"/>
          <w:color w:val="auto"/>
          <w:szCs w:val="24"/>
        </w:rPr>
        <w:t>Discussion</w:t>
      </w:r>
    </w:p>
    <w:p w:rsidR="0051238D" w:rsidRPr="005122D2" w:rsidRDefault="0051238D" w:rsidP="0051238D">
      <w:pPr>
        <w:rPr>
          <w:szCs w:val="24"/>
        </w:rPr>
      </w:pPr>
      <w:r w:rsidRPr="005122D2">
        <w:rPr>
          <w:rStyle w:val="content"/>
          <w:szCs w:val="24"/>
        </w:rPr>
        <w:t>The relationship between income and health is well documented and can simply be stated as the higher the income the better the health of the individual (Reinstein, 2011).  The ability to pay for healthcare services is the key to accessing health services resulting in better health outcomes of the individual.  Linn County is well below average in its mean family income of $</w:t>
      </w:r>
      <w:r w:rsidRPr="005122D2">
        <w:rPr>
          <w:szCs w:val="24"/>
        </w:rPr>
        <w:t xml:space="preserve">51,231 compared to the U.S. mean family income of $82,446; also, there were still approximately 12.1 percent of the households living below the poverty level in 2010 compared to 10.1 for the U.S. </w:t>
      </w:r>
    </w:p>
    <w:p w:rsidR="00795CBA" w:rsidRPr="00074652" w:rsidRDefault="00795CBA" w:rsidP="00BF5653">
      <w:pPr>
        <w:rPr>
          <w:szCs w:val="24"/>
        </w:rPr>
      </w:pPr>
    </w:p>
    <w:p w:rsidR="00BF5653" w:rsidRPr="00074652" w:rsidRDefault="00BF5653" w:rsidP="00BF5653">
      <w:pPr>
        <w:pStyle w:val="Heading1"/>
        <w:rPr>
          <w:color w:val="auto"/>
        </w:rPr>
      </w:pPr>
      <w:r w:rsidRPr="00074652">
        <w:rPr>
          <w:color w:val="auto"/>
          <w:szCs w:val="24"/>
        </w:rPr>
        <w:br w:type="page"/>
      </w:r>
      <w:bookmarkStart w:id="52" w:name="_Toc292981202"/>
      <w:bookmarkStart w:id="53" w:name="_Toc318638268"/>
      <w:bookmarkStart w:id="54" w:name="_Toc229126456"/>
      <w:r w:rsidR="00CC2BE3">
        <w:rPr>
          <w:color w:val="auto"/>
        </w:rPr>
        <w:lastRenderedPageBreak/>
        <w:t>II. Secondary Data A</w:t>
      </w:r>
      <w:r w:rsidRPr="00074652">
        <w:rPr>
          <w:color w:val="auto"/>
        </w:rPr>
        <w:t>nalysis</w:t>
      </w:r>
      <w:bookmarkEnd w:id="52"/>
      <w:bookmarkEnd w:id="53"/>
      <w:bookmarkEnd w:id="54"/>
    </w:p>
    <w:p w:rsidR="00BF5653" w:rsidRPr="005122D2" w:rsidRDefault="00BF5653">
      <w:r w:rsidRPr="005122D2">
        <w:t xml:space="preserve">The following section details the analysis of data retrieved from secondary sources such as the </w:t>
      </w:r>
      <w:r w:rsidR="00443826" w:rsidRPr="005122D2">
        <w:t>Missouri Department of Health and Senior Services,</w:t>
      </w:r>
      <w:r w:rsidRPr="005122D2">
        <w:t xml:space="preserve"> various U.S. health surveys, and previous community health needs assessments or reports.  A wide range of health indicators, outcomes, and measures were reviewed and compared to a number of standards and benchmarks in order to determine the overall quality of population health for L</w:t>
      </w:r>
      <w:r w:rsidR="0051238D" w:rsidRPr="005122D2">
        <w:t>inn</w:t>
      </w:r>
      <w:r w:rsidR="00443826" w:rsidRPr="005122D2">
        <w:t xml:space="preserve"> </w:t>
      </w:r>
      <w:r w:rsidRPr="005122D2">
        <w:t xml:space="preserve">County.  </w:t>
      </w:r>
    </w:p>
    <w:p w:rsidR="00BF5653" w:rsidRDefault="00CC2BE3" w:rsidP="00BF5653">
      <w:pPr>
        <w:pStyle w:val="Heading2"/>
      </w:pPr>
      <w:bookmarkStart w:id="55" w:name="_Toc318638269"/>
      <w:bookmarkStart w:id="56" w:name="_Toc229126457"/>
      <w:r>
        <w:t>Health M</w:t>
      </w:r>
      <w:r w:rsidR="00BF5653">
        <w:t>easures</w:t>
      </w:r>
      <w:bookmarkEnd w:id="55"/>
      <w:bookmarkEnd w:id="56"/>
    </w:p>
    <w:p w:rsidR="00BF5653" w:rsidRPr="005122D2" w:rsidRDefault="00BF5653" w:rsidP="00BF5653">
      <w:r w:rsidRPr="005122D2">
        <w:t xml:space="preserve">There are multiple mechanisms available to capture the health status of a population.  The Office of Disease Prevention and Health Promotion (ODPHP), which manages the Healthy People 2020 initiative, has set forth several health </w:t>
      </w:r>
      <w:r w:rsidR="00A5392A" w:rsidRPr="005122D2">
        <w:t>indicators</w:t>
      </w:r>
      <w:r w:rsidRPr="005122D2">
        <w:t xml:space="preserve"> used to identify and measure a community’s wellbeing. </w:t>
      </w:r>
    </w:p>
    <w:p w:rsidR="00BF5653" w:rsidRPr="005122D2" w:rsidRDefault="00BF5653" w:rsidP="00BF5653">
      <w:r w:rsidRPr="005122D2">
        <w:t>The following describes several measures that are available to provide information on a specific population’s health status.</w:t>
      </w:r>
    </w:p>
    <w:p w:rsidR="00BF5653" w:rsidRPr="005122D2" w:rsidRDefault="00BF5653" w:rsidP="00BF5653">
      <w:pPr>
        <w:rPr>
          <w:i/>
          <w:sz w:val="20"/>
          <w:szCs w:val="20"/>
        </w:rPr>
      </w:pPr>
      <w:r w:rsidRPr="005122D2">
        <w:t>Years of potential life lost (YPLL) is a summary measure indicatin</w:t>
      </w:r>
      <w:r w:rsidR="00A5392A" w:rsidRPr="005122D2">
        <w:t>g premature death.  This formula</w:t>
      </w:r>
      <w:r w:rsidRPr="005122D2">
        <w:t xml:space="preserve"> provides an estimate of the total number of years that were not</w:t>
      </w:r>
      <w:r w:rsidR="00A5392A" w:rsidRPr="005122D2">
        <w:t xml:space="preserve"> lived by an individual</w:t>
      </w:r>
      <w:r w:rsidRPr="005122D2">
        <w:t xml:space="preserve">, and within the United States, is based on a limit of 75 years.  </w:t>
      </w:r>
      <w:r w:rsidR="00A5392A" w:rsidRPr="005122D2">
        <w:t>The YPLL formula</w:t>
      </w:r>
      <w:r w:rsidRPr="005122D2">
        <w:t xml:space="preserve"> allows co</w:t>
      </w:r>
      <w:r w:rsidR="00A5392A" w:rsidRPr="005122D2">
        <w:t>mmunities to target resources in</w:t>
      </w:r>
      <w:r w:rsidRPr="005122D2">
        <w:t xml:space="preserve"> high-risk areas and further investigate causes of death if trends become noted.  It is illustrated in Figure 2.1.</w:t>
      </w:r>
      <w:r w:rsidR="00E072B7" w:rsidRPr="005122D2">
        <w:t xml:space="preserve"> </w:t>
      </w:r>
    </w:p>
    <w:p w:rsidR="00BF5653" w:rsidRPr="005122D2" w:rsidRDefault="00BF5653" w:rsidP="00BF5653">
      <w:pPr>
        <w:rPr>
          <w:rFonts w:cs="Arial"/>
          <w:u w:color="063B6E"/>
        </w:rPr>
      </w:pPr>
      <w:r w:rsidRPr="005122D2">
        <w:rPr>
          <w:rFonts w:cs="Arial"/>
        </w:rPr>
        <w:t>Self-assessed health status is another</w:t>
      </w:r>
      <w:r w:rsidR="00A5392A" w:rsidRPr="005122D2">
        <w:rPr>
          <w:rFonts w:cs="Arial"/>
        </w:rPr>
        <w:t xml:space="preserve"> useful tool for gauging the health status</w:t>
      </w:r>
      <w:r w:rsidRPr="005122D2">
        <w:rPr>
          <w:rFonts w:cs="Arial"/>
        </w:rPr>
        <w:t xml:space="preserve"> of a population.  It measures and scores the individual perception of health.  Ranking from excellent, very good, good, </w:t>
      </w:r>
      <w:r w:rsidR="007F5A6E" w:rsidRPr="005122D2">
        <w:rPr>
          <w:rFonts w:cs="Arial"/>
        </w:rPr>
        <w:t>fair, or poor, s</w:t>
      </w:r>
      <w:r w:rsidRPr="005122D2">
        <w:rPr>
          <w:rFonts w:cs="Arial"/>
        </w:rPr>
        <w:t>elf-addressed</w:t>
      </w:r>
      <w:r w:rsidR="00667152" w:rsidRPr="005122D2">
        <w:rPr>
          <w:rFonts w:cs="Arial"/>
        </w:rPr>
        <w:t xml:space="preserve"> health status not only observes</w:t>
      </w:r>
      <w:r w:rsidRPr="005122D2">
        <w:rPr>
          <w:rFonts w:cs="Arial"/>
        </w:rPr>
        <w:t xml:space="preserve"> an individual population, but it </w:t>
      </w:r>
      <w:r w:rsidR="00667152" w:rsidRPr="005122D2">
        <w:rPr>
          <w:rFonts w:cs="Arial"/>
        </w:rPr>
        <w:t xml:space="preserve">also </w:t>
      </w:r>
      <w:r w:rsidRPr="005122D2">
        <w:rPr>
          <w:rFonts w:cs="Arial"/>
        </w:rPr>
        <w:t>allows for easy c</w:t>
      </w:r>
      <w:r w:rsidR="00596B54" w:rsidRPr="005122D2">
        <w:rPr>
          <w:rFonts w:cs="Arial"/>
        </w:rPr>
        <w:t>omparison to other populations.</w:t>
      </w:r>
    </w:p>
    <w:p w:rsidR="00BF5653" w:rsidRPr="005122D2" w:rsidRDefault="00BF5653" w:rsidP="00BF5653">
      <w:pPr>
        <w:widowControl w:val="0"/>
        <w:tabs>
          <w:tab w:val="left" w:pos="220"/>
          <w:tab w:val="left" w:pos="720"/>
        </w:tabs>
        <w:autoSpaceDE w:val="0"/>
        <w:autoSpaceDN w:val="0"/>
        <w:adjustRightInd w:val="0"/>
        <w:rPr>
          <w:rFonts w:cs="Arial"/>
        </w:rPr>
      </w:pPr>
      <w:r w:rsidRPr="005122D2">
        <w:rPr>
          <w:rFonts w:cs="Times"/>
        </w:rPr>
        <w:t>Mental and physical health perceptions extend the self-addressed health status by gathering data in separate questions in order to link quality of life measurement to the medical, mental, and behavioral health fields.</w:t>
      </w:r>
      <w:r w:rsidRPr="005122D2">
        <w:rPr>
          <w:rFonts w:cs="Arial"/>
        </w:rPr>
        <w:t xml:space="preserve">  </w:t>
      </w:r>
      <w:r w:rsidR="005521BE" w:rsidRPr="005122D2">
        <w:rPr>
          <w:rFonts w:cs="Arial"/>
        </w:rPr>
        <w:t>Physically and mentally unhealthy days are</w:t>
      </w:r>
      <w:r w:rsidR="00667152" w:rsidRPr="005122D2">
        <w:rPr>
          <w:rFonts w:cs="Arial"/>
        </w:rPr>
        <w:t xml:space="preserve"> a </w:t>
      </w:r>
      <w:r w:rsidRPr="005122D2">
        <w:rPr>
          <w:rFonts w:cs="Arial"/>
        </w:rPr>
        <w:t>measure</w:t>
      </w:r>
      <w:r w:rsidR="00667152" w:rsidRPr="005122D2">
        <w:rPr>
          <w:rFonts w:cs="Arial"/>
        </w:rPr>
        <w:t xml:space="preserve">ment of individuals whom in the past 30 day have rated their physical or mental health as not good. </w:t>
      </w:r>
      <w:r w:rsidRPr="005122D2">
        <w:rPr>
          <w:rFonts w:cs="Arial"/>
        </w:rPr>
        <w:t xml:space="preserve"> </w:t>
      </w:r>
    </w:p>
    <w:p w:rsidR="00BF5653" w:rsidRPr="005122D2" w:rsidRDefault="00BF5653" w:rsidP="00BF5653">
      <w:pPr>
        <w:widowControl w:val="0"/>
        <w:tabs>
          <w:tab w:val="left" w:pos="220"/>
          <w:tab w:val="left" w:pos="720"/>
        </w:tabs>
        <w:autoSpaceDE w:val="0"/>
        <w:autoSpaceDN w:val="0"/>
        <w:adjustRightInd w:val="0"/>
        <w:rPr>
          <w:rFonts w:cs="Arial"/>
        </w:rPr>
      </w:pPr>
      <w:r w:rsidRPr="005122D2">
        <w:rPr>
          <w:rFonts w:cs="Arial"/>
        </w:rPr>
        <w:t>Figures 2.2 and 2.3 provide additional details on L</w:t>
      </w:r>
      <w:r w:rsidR="0051238D" w:rsidRPr="005122D2">
        <w:rPr>
          <w:rFonts w:cs="Arial"/>
        </w:rPr>
        <w:t>inn</w:t>
      </w:r>
      <w:r w:rsidR="00443826" w:rsidRPr="005122D2">
        <w:rPr>
          <w:rFonts w:cs="Arial"/>
        </w:rPr>
        <w:t xml:space="preserve"> </w:t>
      </w:r>
      <w:r w:rsidRPr="005122D2">
        <w:rPr>
          <w:rFonts w:cs="Arial"/>
        </w:rPr>
        <w:t>County’s self-assessed health status, physically healthy days, and mentally healthy days.</w:t>
      </w:r>
    </w:p>
    <w:p w:rsidR="00BF5653" w:rsidRPr="00CA59CB" w:rsidRDefault="00BF5653" w:rsidP="00BF5653"/>
    <w:p w:rsidR="00BF5653" w:rsidRPr="00CA59CB" w:rsidRDefault="00BF5653" w:rsidP="00BF5653"/>
    <w:p w:rsidR="00BF5653" w:rsidRPr="00CA59CB" w:rsidRDefault="00BF5653" w:rsidP="00BF5653"/>
    <w:p w:rsidR="00BF5653" w:rsidRPr="00CA59CB" w:rsidRDefault="00BF5653" w:rsidP="00BF5653"/>
    <w:p w:rsidR="00BF5653" w:rsidRPr="00CA59CB" w:rsidRDefault="00BF5653" w:rsidP="00BF5653"/>
    <w:p w:rsidR="00BF5653" w:rsidRPr="00CA59CB" w:rsidRDefault="00BF5653" w:rsidP="00BF5653"/>
    <w:p w:rsidR="00BF5653" w:rsidRDefault="00CC2BE3" w:rsidP="00BF5653">
      <w:pPr>
        <w:pStyle w:val="Heading2"/>
        <w:rPr>
          <w:color w:val="auto"/>
        </w:rPr>
      </w:pPr>
      <w:bookmarkStart w:id="57" w:name="_Toc292981203"/>
      <w:bookmarkStart w:id="58" w:name="_Toc318638270"/>
      <w:bookmarkStart w:id="59" w:name="_Toc229126458"/>
      <w:r>
        <w:rPr>
          <w:color w:val="auto"/>
        </w:rPr>
        <w:lastRenderedPageBreak/>
        <w:t>Health O</w:t>
      </w:r>
      <w:r w:rsidR="00BF5653" w:rsidRPr="00074652">
        <w:rPr>
          <w:color w:val="auto"/>
        </w:rPr>
        <w:t>utcomes</w:t>
      </w:r>
      <w:bookmarkEnd w:id="57"/>
      <w:bookmarkEnd w:id="58"/>
      <w:bookmarkEnd w:id="59"/>
    </w:p>
    <w:p w:rsidR="00BF5653" w:rsidRPr="00B709B0" w:rsidRDefault="00BF5653" w:rsidP="00BF5653"/>
    <w:p w:rsidR="00BF5653" w:rsidRPr="00074652" w:rsidRDefault="00CC2BE3" w:rsidP="00BF5653">
      <w:pPr>
        <w:pStyle w:val="Heading3"/>
        <w:rPr>
          <w:color w:val="auto"/>
        </w:rPr>
      </w:pPr>
      <w:bookmarkStart w:id="60" w:name="_Toc292981204"/>
      <w:bookmarkStart w:id="61" w:name="_Toc318638271"/>
      <w:bookmarkStart w:id="62" w:name="_Toc229126459"/>
      <w:r>
        <w:rPr>
          <w:color w:val="auto"/>
        </w:rPr>
        <w:t>Mortality – F</w:t>
      </w:r>
      <w:r w:rsidR="00BF5653" w:rsidRPr="00074652">
        <w:rPr>
          <w:color w:val="auto"/>
        </w:rPr>
        <w:t>igure 2.1</w:t>
      </w:r>
      <w:bookmarkEnd w:id="60"/>
      <w:bookmarkEnd w:id="61"/>
      <w:bookmarkEnd w:id="62"/>
    </w:p>
    <w:p w:rsidR="00CC02DA" w:rsidRDefault="00FA23ED" w:rsidP="00BF5653">
      <w:pPr>
        <w:rPr>
          <w:rStyle w:val="SubtleReference1"/>
          <w:rFonts w:ascii="Cambria" w:hAnsi="Cambria"/>
          <w:iCs/>
          <w:color w:val="auto"/>
        </w:rPr>
      </w:pPr>
      <w:r>
        <w:rPr>
          <w:noProof/>
        </w:rPr>
        <w:drawing>
          <wp:anchor distT="15447" distB="23170" distL="129621" distR="140154" simplePos="0" relativeHeight="251649024" behindDoc="1" locked="0" layoutInCell="1" allowOverlap="1">
            <wp:simplePos x="0" y="0"/>
            <wp:positionH relativeFrom="column">
              <wp:posOffset>15321</wp:posOffset>
            </wp:positionH>
            <wp:positionV relativeFrom="paragraph">
              <wp:posOffset>24337</wp:posOffset>
            </wp:positionV>
            <wp:extent cx="5673725" cy="3475355"/>
            <wp:effectExtent l="19050" t="19050" r="22225" b="10795"/>
            <wp:wrapNone/>
            <wp:docPr id="6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BF5653">
        <w:rPr>
          <w:noProof/>
        </w:rPr>
        <w:br/>
      </w:r>
    </w:p>
    <w:p w:rsidR="00CC02DA" w:rsidRDefault="00CC02DA" w:rsidP="00BF5653">
      <w:pPr>
        <w:rPr>
          <w:rStyle w:val="SubtleReference1"/>
          <w:rFonts w:ascii="Cambria" w:hAnsi="Cambria"/>
          <w:iCs/>
          <w:color w:val="auto"/>
        </w:rPr>
      </w:pPr>
    </w:p>
    <w:p w:rsidR="00CC02DA" w:rsidRDefault="00CC02DA" w:rsidP="00BF5653">
      <w:pPr>
        <w:rPr>
          <w:rStyle w:val="SubtleReference1"/>
          <w:rFonts w:ascii="Cambria" w:hAnsi="Cambria"/>
          <w:iCs/>
          <w:color w:val="auto"/>
        </w:rPr>
      </w:pPr>
    </w:p>
    <w:p w:rsidR="00CC02DA" w:rsidRDefault="00CC02DA" w:rsidP="00BF5653">
      <w:pPr>
        <w:rPr>
          <w:rStyle w:val="SubtleReference1"/>
          <w:rFonts w:ascii="Cambria" w:hAnsi="Cambria"/>
          <w:iCs/>
          <w:color w:val="auto"/>
        </w:rPr>
      </w:pPr>
    </w:p>
    <w:p w:rsidR="00CC02DA" w:rsidRDefault="00CC02DA" w:rsidP="00BF5653">
      <w:pPr>
        <w:rPr>
          <w:rStyle w:val="SubtleReference1"/>
          <w:rFonts w:ascii="Cambria" w:hAnsi="Cambria"/>
          <w:iCs/>
          <w:color w:val="auto"/>
        </w:rPr>
      </w:pPr>
    </w:p>
    <w:p w:rsidR="00CC02DA" w:rsidRDefault="00CC02DA" w:rsidP="00BF5653">
      <w:pPr>
        <w:rPr>
          <w:rStyle w:val="SubtleReference1"/>
          <w:rFonts w:ascii="Cambria" w:hAnsi="Cambria"/>
          <w:iCs/>
          <w:color w:val="auto"/>
        </w:rPr>
      </w:pPr>
    </w:p>
    <w:p w:rsidR="00CC02DA" w:rsidRDefault="00CC02DA" w:rsidP="00BF5653">
      <w:pPr>
        <w:rPr>
          <w:rStyle w:val="SubtleReference1"/>
          <w:rFonts w:ascii="Cambria" w:hAnsi="Cambria"/>
          <w:iCs/>
          <w:color w:val="auto"/>
        </w:rPr>
      </w:pPr>
    </w:p>
    <w:p w:rsidR="00CC02DA" w:rsidRDefault="00CC02DA" w:rsidP="00BF5653">
      <w:pPr>
        <w:rPr>
          <w:rStyle w:val="SubtleReference1"/>
          <w:rFonts w:ascii="Cambria" w:hAnsi="Cambria"/>
          <w:iCs/>
          <w:color w:val="auto"/>
        </w:rPr>
      </w:pPr>
    </w:p>
    <w:p w:rsidR="00CC02DA" w:rsidRDefault="00CC02DA" w:rsidP="00BF5653">
      <w:pPr>
        <w:rPr>
          <w:rStyle w:val="SubtleReference1"/>
          <w:rFonts w:ascii="Cambria" w:hAnsi="Cambria"/>
          <w:iCs/>
          <w:color w:val="auto"/>
        </w:rPr>
      </w:pPr>
    </w:p>
    <w:p w:rsidR="00CC02DA" w:rsidRDefault="00CC02DA" w:rsidP="00BF5653">
      <w:pPr>
        <w:rPr>
          <w:rStyle w:val="SubtleReference1"/>
          <w:rFonts w:ascii="Cambria" w:hAnsi="Cambria"/>
          <w:iCs/>
          <w:color w:val="auto"/>
        </w:rPr>
      </w:pPr>
    </w:p>
    <w:p w:rsidR="00CC02DA" w:rsidRDefault="00CC02DA" w:rsidP="00BF5653">
      <w:pPr>
        <w:rPr>
          <w:rStyle w:val="SubtleReference1"/>
          <w:rFonts w:ascii="Cambria" w:hAnsi="Cambria"/>
          <w:iCs/>
          <w:color w:val="auto"/>
        </w:rPr>
      </w:pPr>
    </w:p>
    <w:p w:rsidR="00CC02DA" w:rsidRDefault="00CC02DA" w:rsidP="00BF5653">
      <w:pPr>
        <w:rPr>
          <w:rStyle w:val="SubtleReference1"/>
          <w:rFonts w:ascii="Cambria" w:hAnsi="Cambria"/>
          <w:iCs/>
          <w:color w:val="auto"/>
        </w:rPr>
      </w:pPr>
    </w:p>
    <w:p w:rsidR="00BF5653" w:rsidRPr="00074652" w:rsidRDefault="00BF5653" w:rsidP="00BF5653">
      <w:r w:rsidRPr="00074652">
        <w:rPr>
          <w:rStyle w:val="SubtleReference1"/>
          <w:rFonts w:ascii="Cambria" w:hAnsi="Cambria"/>
          <w:iCs/>
          <w:color w:val="auto"/>
        </w:rPr>
        <w:t>Source</w:t>
      </w:r>
      <w:r w:rsidRPr="00074652">
        <w:t xml:space="preserve">:  </w:t>
      </w:r>
      <w:r w:rsidR="004E6EBE">
        <w:t xml:space="preserve">(2012) </w:t>
      </w:r>
      <w:r w:rsidR="00CC02DA" w:rsidRPr="00CC02DA">
        <w:rPr>
          <w:u w:val="single"/>
        </w:rPr>
        <w:t>http://www.countyhealth</w:t>
      </w:r>
      <w:r w:rsidR="00C174DA">
        <w:rPr>
          <w:u w:val="single"/>
        </w:rPr>
        <w:t>rankings.org/missouri/linn</w:t>
      </w:r>
      <w:r w:rsidR="00CC02DA" w:rsidRPr="00CC02DA">
        <w:rPr>
          <w:u w:val="single"/>
        </w:rPr>
        <w:t>/1</w:t>
      </w:r>
    </w:p>
    <w:p w:rsidR="00BF5653" w:rsidRPr="00074652" w:rsidRDefault="00BF5653" w:rsidP="00BF5653">
      <w:pPr>
        <w:pStyle w:val="Heading5"/>
        <w:rPr>
          <w:color w:val="auto"/>
        </w:rPr>
      </w:pPr>
      <w:r w:rsidRPr="00074652">
        <w:rPr>
          <w:color w:val="auto"/>
        </w:rPr>
        <w:t>Discussion</w:t>
      </w:r>
    </w:p>
    <w:p w:rsidR="00C174DA" w:rsidRPr="005122D2" w:rsidRDefault="00C174DA" w:rsidP="00C174DA">
      <w:r w:rsidRPr="005122D2">
        <w:t xml:space="preserve">Since mortality is one of the leading indicators in determining the health of a population, it will provide a basic measure for the health of Linn County.  Premature death is represented by the years of potential life lost before age 75 (YPLL-75) and based off of rank from best to worst. Linn County ranks 33rd out of 111 counties in Missouri that reported this data.   </w:t>
      </w:r>
    </w:p>
    <w:p w:rsidR="00BF5653" w:rsidRDefault="00BF5653" w:rsidP="00BF5653"/>
    <w:p w:rsidR="00BF5653" w:rsidRDefault="00BF5653" w:rsidP="00BF5653"/>
    <w:p w:rsidR="00BF5653" w:rsidRDefault="00BF5653" w:rsidP="00BF5653"/>
    <w:p w:rsidR="00BF5653" w:rsidRDefault="00BF5653" w:rsidP="00BF5653"/>
    <w:p w:rsidR="00BF5653" w:rsidRDefault="00BF5653" w:rsidP="00BF5653"/>
    <w:p w:rsidR="00BF5653" w:rsidRPr="00074652" w:rsidRDefault="00BF5653" w:rsidP="00BF5653"/>
    <w:p w:rsidR="00BF5653" w:rsidRPr="00074652" w:rsidRDefault="00BF5653" w:rsidP="00BF5653">
      <w:pPr>
        <w:pStyle w:val="Heading3"/>
        <w:rPr>
          <w:color w:val="auto"/>
        </w:rPr>
      </w:pPr>
      <w:bookmarkStart w:id="63" w:name="_Toc292981205"/>
      <w:bookmarkStart w:id="64" w:name="_Toc318638272"/>
      <w:bookmarkStart w:id="65" w:name="_Toc229126460"/>
      <w:r w:rsidRPr="00074652">
        <w:rPr>
          <w:color w:val="auto"/>
        </w:rPr>
        <w:lastRenderedPageBreak/>
        <w:t>Morbidity Measures – Figure 2.2</w:t>
      </w:r>
      <w:bookmarkEnd w:id="63"/>
      <w:bookmarkEnd w:id="64"/>
      <w:bookmarkEnd w:id="65"/>
    </w:p>
    <w:tbl>
      <w:tblPr>
        <w:tblW w:w="5000" w:type="pct"/>
        <w:tblBorders>
          <w:top w:val="single" w:sz="18" w:space="0" w:color="6076B4"/>
          <w:left w:val="single" w:sz="18" w:space="0" w:color="6076B4"/>
          <w:bottom w:val="single" w:sz="18" w:space="0" w:color="6076B4"/>
          <w:right w:val="single" w:sz="18" w:space="0" w:color="6076B4"/>
          <w:insideH w:val="single" w:sz="18" w:space="0" w:color="6076B4"/>
          <w:insideV w:val="single" w:sz="18" w:space="0" w:color="6076B4"/>
        </w:tblBorders>
        <w:tblLook w:val="00A0" w:firstRow="1" w:lastRow="0" w:firstColumn="1" w:lastColumn="0" w:noHBand="0" w:noVBand="0"/>
      </w:tblPr>
      <w:tblGrid>
        <w:gridCol w:w="3146"/>
        <w:gridCol w:w="1410"/>
        <w:gridCol w:w="1410"/>
        <w:gridCol w:w="1067"/>
        <w:gridCol w:w="2543"/>
      </w:tblGrid>
      <w:tr w:rsidR="00BF5653" w:rsidRPr="00074652">
        <w:trPr>
          <w:trHeight w:val="300"/>
        </w:trPr>
        <w:tc>
          <w:tcPr>
            <w:tcW w:w="1643" w:type="pct"/>
            <w:noWrap/>
          </w:tcPr>
          <w:p w:rsidR="00BF5653" w:rsidRPr="00BF5653" w:rsidRDefault="00BF5653" w:rsidP="00BF5653">
            <w:pPr>
              <w:pStyle w:val="ColorfulGrid-Accent11"/>
              <w:spacing w:after="0" w:line="240" w:lineRule="auto"/>
              <w:rPr>
                <w:rStyle w:val="SubtleEmphasis1"/>
                <w:b/>
                <w:bCs/>
                <w:sz w:val="22"/>
                <w:szCs w:val="22"/>
                <w:lang w:val="en-US" w:eastAsia="en-US"/>
              </w:rPr>
            </w:pPr>
          </w:p>
        </w:tc>
        <w:tc>
          <w:tcPr>
            <w:tcW w:w="1472" w:type="pct"/>
            <w:gridSpan w:val="2"/>
            <w:noWrap/>
          </w:tcPr>
          <w:p w:rsidR="00BF5653" w:rsidRPr="00BF5653" w:rsidRDefault="001B40A2" w:rsidP="00BF5653">
            <w:pPr>
              <w:pStyle w:val="ColorfulGrid-Accent11"/>
              <w:spacing w:after="0" w:line="240" w:lineRule="auto"/>
              <w:jc w:val="center"/>
              <w:rPr>
                <w:rStyle w:val="SubtleEmphasis1"/>
                <w:b/>
                <w:bCs/>
                <w:sz w:val="22"/>
                <w:szCs w:val="22"/>
                <w:lang w:val="en-US" w:eastAsia="en-US"/>
              </w:rPr>
            </w:pPr>
            <w:r>
              <w:rPr>
                <w:rStyle w:val="SubtleEmphasis1"/>
                <w:bCs/>
                <w:sz w:val="22"/>
                <w:szCs w:val="22"/>
                <w:lang w:val="en-US" w:eastAsia="en-US"/>
              </w:rPr>
              <w:t>Linn</w:t>
            </w:r>
            <w:r w:rsidR="00BF5653" w:rsidRPr="00BF5653">
              <w:rPr>
                <w:rStyle w:val="SubtleEmphasis1"/>
                <w:bCs/>
                <w:sz w:val="22"/>
                <w:szCs w:val="22"/>
                <w:lang w:val="en-US" w:eastAsia="en-US"/>
              </w:rPr>
              <w:t xml:space="preserve"> County</w:t>
            </w:r>
          </w:p>
        </w:tc>
        <w:tc>
          <w:tcPr>
            <w:tcW w:w="557" w:type="pct"/>
            <w:noWrap/>
          </w:tcPr>
          <w:p w:rsidR="00BF5653" w:rsidRPr="00BF5653" w:rsidRDefault="005A7B34" w:rsidP="00BF5653">
            <w:pPr>
              <w:pStyle w:val="ColorfulGrid-Accent11"/>
              <w:spacing w:after="0" w:line="240" w:lineRule="auto"/>
              <w:jc w:val="center"/>
              <w:rPr>
                <w:rStyle w:val="SubtleEmphasis1"/>
                <w:b/>
                <w:bCs/>
                <w:sz w:val="22"/>
                <w:szCs w:val="22"/>
                <w:lang w:val="en-US" w:eastAsia="en-US"/>
              </w:rPr>
            </w:pPr>
            <w:r>
              <w:rPr>
                <w:rStyle w:val="SubtleEmphasis1"/>
                <w:bCs/>
                <w:sz w:val="22"/>
                <w:szCs w:val="22"/>
                <w:lang w:val="en-US" w:eastAsia="en-US"/>
              </w:rPr>
              <w:t>Missouri</w:t>
            </w:r>
          </w:p>
        </w:tc>
        <w:tc>
          <w:tcPr>
            <w:tcW w:w="1328" w:type="pct"/>
            <w:noWrap/>
          </w:tcPr>
          <w:p w:rsidR="00BF5653" w:rsidRPr="00BF5653" w:rsidRDefault="00114006" w:rsidP="00BF5653">
            <w:pPr>
              <w:pStyle w:val="ColorfulGrid-Accent11"/>
              <w:spacing w:after="0" w:line="240" w:lineRule="auto"/>
              <w:jc w:val="center"/>
              <w:rPr>
                <w:rStyle w:val="SubtleEmphasis1"/>
                <w:b/>
                <w:bCs/>
                <w:sz w:val="22"/>
                <w:szCs w:val="22"/>
                <w:lang w:val="en-US" w:eastAsia="en-US"/>
              </w:rPr>
            </w:pPr>
            <w:r>
              <w:rPr>
                <w:rStyle w:val="SubtleEmphasis1"/>
                <w:bCs/>
                <w:sz w:val="22"/>
                <w:szCs w:val="22"/>
                <w:lang w:val="en-US" w:eastAsia="en-US"/>
              </w:rPr>
              <w:t>National Benchmark</w:t>
            </w:r>
          </w:p>
        </w:tc>
      </w:tr>
      <w:tr w:rsidR="00BF5653" w:rsidRPr="00074652">
        <w:trPr>
          <w:trHeight w:val="232"/>
        </w:trPr>
        <w:tc>
          <w:tcPr>
            <w:tcW w:w="1643" w:type="pct"/>
            <w:shd w:val="clear" w:color="auto" w:fill="D7DCEC"/>
            <w:noWrap/>
          </w:tcPr>
          <w:p w:rsidR="00BF5653" w:rsidRPr="00BF5653" w:rsidRDefault="00BF5653" w:rsidP="00BF5653">
            <w:pPr>
              <w:pStyle w:val="ColorfulGrid-Accent11"/>
              <w:spacing w:after="0" w:line="240" w:lineRule="auto"/>
              <w:rPr>
                <w:rStyle w:val="SubtleEmphasis1"/>
                <w:b/>
                <w:bCs/>
                <w:sz w:val="22"/>
                <w:szCs w:val="22"/>
                <w:lang w:val="en-US" w:eastAsia="en-US"/>
              </w:rPr>
            </w:pPr>
            <w:r w:rsidRPr="00BF5653">
              <w:rPr>
                <w:rStyle w:val="SubtleEmphasis1"/>
                <w:b/>
                <w:bCs/>
                <w:sz w:val="22"/>
                <w:szCs w:val="22"/>
                <w:lang w:val="en-US" w:eastAsia="en-US"/>
              </w:rPr>
              <w:t> </w:t>
            </w:r>
          </w:p>
        </w:tc>
        <w:tc>
          <w:tcPr>
            <w:tcW w:w="736" w:type="pct"/>
            <w:shd w:val="clear" w:color="auto" w:fill="D7DCEC"/>
            <w:noWrap/>
          </w:tcPr>
          <w:p w:rsidR="00BF5653" w:rsidRPr="00BF5653" w:rsidRDefault="005A7B34" w:rsidP="00BF5653">
            <w:pPr>
              <w:pStyle w:val="ColorfulGrid-Accent11"/>
              <w:spacing w:after="0" w:line="240" w:lineRule="auto"/>
              <w:jc w:val="center"/>
              <w:rPr>
                <w:rStyle w:val="SubtleEmphasis1"/>
                <w:b/>
                <w:sz w:val="22"/>
                <w:szCs w:val="22"/>
                <w:lang w:val="en-US" w:eastAsia="en-US"/>
              </w:rPr>
            </w:pPr>
            <w:r>
              <w:rPr>
                <w:rStyle w:val="SubtleEmphasis1"/>
                <w:b/>
                <w:sz w:val="22"/>
                <w:szCs w:val="22"/>
                <w:lang w:val="en-US" w:eastAsia="en-US"/>
              </w:rPr>
              <w:t>2011</w:t>
            </w:r>
          </w:p>
        </w:tc>
        <w:tc>
          <w:tcPr>
            <w:tcW w:w="736" w:type="pct"/>
            <w:shd w:val="clear" w:color="auto" w:fill="D7DCEC"/>
            <w:noWrap/>
          </w:tcPr>
          <w:p w:rsidR="00BF5653" w:rsidRPr="00BF5653" w:rsidRDefault="005A7B34" w:rsidP="00BF5653">
            <w:pPr>
              <w:pStyle w:val="ColorfulGrid-Accent11"/>
              <w:spacing w:after="0" w:line="240" w:lineRule="auto"/>
              <w:jc w:val="center"/>
              <w:rPr>
                <w:rStyle w:val="SubtleEmphasis1"/>
                <w:b/>
                <w:sz w:val="22"/>
                <w:szCs w:val="22"/>
                <w:lang w:val="en-US" w:eastAsia="en-US"/>
              </w:rPr>
            </w:pPr>
            <w:r>
              <w:rPr>
                <w:rStyle w:val="SubtleEmphasis1"/>
                <w:b/>
                <w:sz w:val="22"/>
                <w:szCs w:val="22"/>
                <w:lang w:val="en-US" w:eastAsia="en-US"/>
              </w:rPr>
              <w:t>2012</w:t>
            </w:r>
          </w:p>
        </w:tc>
        <w:tc>
          <w:tcPr>
            <w:tcW w:w="557" w:type="pct"/>
            <w:shd w:val="clear" w:color="auto" w:fill="D7DCEC"/>
            <w:noWrap/>
          </w:tcPr>
          <w:p w:rsidR="00BF5653" w:rsidRPr="001B1FE6" w:rsidRDefault="001B1FE6" w:rsidP="00BF5653">
            <w:pPr>
              <w:pStyle w:val="ColorfulGrid-Accent11"/>
              <w:spacing w:after="0" w:line="240" w:lineRule="auto"/>
              <w:jc w:val="center"/>
              <w:rPr>
                <w:rStyle w:val="SubtleEmphasis1"/>
                <w:b/>
                <w:sz w:val="22"/>
                <w:szCs w:val="22"/>
                <w:lang w:val="en-US" w:eastAsia="en-US"/>
              </w:rPr>
            </w:pPr>
            <w:r w:rsidRPr="001B1FE6">
              <w:rPr>
                <w:rStyle w:val="SubtleEmphasis1"/>
                <w:b/>
                <w:sz w:val="22"/>
                <w:szCs w:val="22"/>
                <w:lang w:val="en-US" w:eastAsia="en-US"/>
              </w:rPr>
              <w:t>2012</w:t>
            </w:r>
          </w:p>
        </w:tc>
        <w:tc>
          <w:tcPr>
            <w:tcW w:w="1328" w:type="pct"/>
            <w:shd w:val="clear" w:color="auto" w:fill="D7DCEC"/>
            <w:noWrap/>
          </w:tcPr>
          <w:p w:rsidR="00BF5653" w:rsidRPr="001B1FE6" w:rsidRDefault="001B1FE6" w:rsidP="00BF5653">
            <w:pPr>
              <w:pStyle w:val="ColorfulGrid-Accent11"/>
              <w:spacing w:after="0" w:line="240" w:lineRule="auto"/>
              <w:jc w:val="center"/>
              <w:rPr>
                <w:rStyle w:val="SubtleEmphasis1"/>
                <w:b/>
                <w:sz w:val="22"/>
                <w:szCs w:val="22"/>
                <w:lang w:val="en-US" w:eastAsia="en-US"/>
              </w:rPr>
            </w:pPr>
            <w:r w:rsidRPr="001B1FE6">
              <w:rPr>
                <w:rStyle w:val="SubtleEmphasis1"/>
                <w:b/>
                <w:sz w:val="22"/>
                <w:szCs w:val="22"/>
                <w:lang w:val="en-US" w:eastAsia="en-US"/>
              </w:rPr>
              <w:t>2012</w:t>
            </w:r>
          </w:p>
        </w:tc>
      </w:tr>
      <w:tr w:rsidR="001B40A2" w:rsidRPr="00074652">
        <w:trPr>
          <w:trHeight w:val="300"/>
        </w:trPr>
        <w:tc>
          <w:tcPr>
            <w:tcW w:w="1643" w:type="pct"/>
            <w:noWrap/>
          </w:tcPr>
          <w:p w:rsidR="001B40A2" w:rsidRPr="00074652" w:rsidRDefault="001B40A2" w:rsidP="00BF5653">
            <w:pPr>
              <w:spacing w:after="0" w:line="240" w:lineRule="auto"/>
              <w:rPr>
                <w:rFonts w:cs="Calibri"/>
                <w:b/>
                <w:bCs/>
                <w:vertAlign w:val="superscript"/>
              </w:rPr>
            </w:pPr>
            <w:r w:rsidRPr="00074652">
              <w:rPr>
                <w:rFonts w:cs="Calibri"/>
                <w:b/>
                <w:bCs/>
              </w:rPr>
              <w:t>Poor or fair health</w:t>
            </w:r>
            <w:r w:rsidRPr="00074652">
              <w:rPr>
                <w:rStyle w:val="FootnoteReference"/>
                <w:rFonts w:cs="Calibri"/>
                <w:b/>
                <w:bCs/>
              </w:rPr>
              <w:footnoteReference w:id="1"/>
            </w:r>
          </w:p>
        </w:tc>
        <w:tc>
          <w:tcPr>
            <w:tcW w:w="736" w:type="pct"/>
            <w:noWrap/>
          </w:tcPr>
          <w:p w:rsidR="001B40A2" w:rsidRPr="00616483" w:rsidRDefault="001B40A2" w:rsidP="001B40A2">
            <w:pPr>
              <w:spacing w:after="0" w:line="240" w:lineRule="auto"/>
              <w:jc w:val="center"/>
              <w:rPr>
                <w:rFonts w:cs="Calibri"/>
              </w:rPr>
            </w:pPr>
            <w:r>
              <w:rPr>
                <w:rFonts w:cs="Calibri"/>
              </w:rPr>
              <w:t>21</w:t>
            </w:r>
            <w:r w:rsidRPr="00616483">
              <w:rPr>
                <w:rFonts w:cs="Calibri"/>
              </w:rPr>
              <w:t>%</w:t>
            </w:r>
          </w:p>
        </w:tc>
        <w:tc>
          <w:tcPr>
            <w:tcW w:w="736" w:type="pct"/>
            <w:noWrap/>
          </w:tcPr>
          <w:p w:rsidR="001B40A2" w:rsidRPr="00074652" w:rsidRDefault="001B40A2" w:rsidP="001B40A2">
            <w:pPr>
              <w:spacing w:after="0" w:line="240" w:lineRule="auto"/>
              <w:jc w:val="center"/>
              <w:rPr>
                <w:rFonts w:cs="Calibri"/>
              </w:rPr>
            </w:pPr>
            <w:r>
              <w:rPr>
                <w:rFonts w:cs="Calibri"/>
              </w:rPr>
              <w:t>20</w:t>
            </w:r>
            <w:r w:rsidRPr="00074652">
              <w:rPr>
                <w:rFonts w:cs="Calibri"/>
              </w:rPr>
              <w:t>%</w:t>
            </w:r>
          </w:p>
        </w:tc>
        <w:tc>
          <w:tcPr>
            <w:tcW w:w="557" w:type="pct"/>
            <w:noWrap/>
          </w:tcPr>
          <w:p w:rsidR="001B40A2" w:rsidRPr="00074652" w:rsidRDefault="001B40A2" w:rsidP="00BF5653">
            <w:pPr>
              <w:spacing w:after="0" w:line="240" w:lineRule="auto"/>
              <w:jc w:val="center"/>
              <w:rPr>
                <w:rFonts w:cs="Calibri"/>
              </w:rPr>
            </w:pPr>
            <w:r>
              <w:rPr>
                <w:rFonts w:cs="Calibri"/>
              </w:rPr>
              <w:t>16</w:t>
            </w:r>
            <w:r w:rsidRPr="00074652">
              <w:rPr>
                <w:rFonts w:cs="Calibri"/>
              </w:rPr>
              <w:t>%</w:t>
            </w:r>
          </w:p>
        </w:tc>
        <w:tc>
          <w:tcPr>
            <w:tcW w:w="1328" w:type="pct"/>
            <w:noWrap/>
          </w:tcPr>
          <w:p w:rsidR="001B40A2" w:rsidRPr="00074652" w:rsidRDefault="001B40A2" w:rsidP="00BF5653">
            <w:pPr>
              <w:spacing w:after="0" w:line="240" w:lineRule="auto"/>
              <w:jc w:val="center"/>
              <w:rPr>
                <w:rFonts w:cs="Calibri"/>
              </w:rPr>
            </w:pPr>
            <w:r w:rsidRPr="00074652">
              <w:rPr>
                <w:rFonts w:cs="Calibri"/>
              </w:rPr>
              <w:t>10%</w:t>
            </w:r>
          </w:p>
        </w:tc>
      </w:tr>
      <w:tr w:rsidR="001B40A2" w:rsidRPr="00074652">
        <w:trPr>
          <w:trHeight w:val="300"/>
        </w:trPr>
        <w:tc>
          <w:tcPr>
            <w:tcW w:w="1643" w:type="pct"/>
            <w:shd w:val="clear" w:color="auto" w:fill="D7DCEC"/>
            <w:noWrap/>
          </w:tcPr>
          <w:p w:rsidR="001B40A2" w:rsidRPr="00074652" w:rsidRDefault="001B40A2" w:rsidP="00BF5653">
            <w:pPr>
              <w:spacing w:after="0" w:line="240" w:lineRule="auto"/>
              <w:rPr>
                <w:rFonts w:cs="Calibri"/>
                <w:b/>
                <w:bCs/>
                <w:vertAlign w:val="superscript"/>
              </w:rPr>
            </w:pPr>
            <w:r w:rsidRPr="00074652">
              <w:rPr>
                <w:rFonts w:cs="Calibri"/>
                <w:b/>
                <w:bCs/>
              </w:rPr>
              <w:t>Poor physical health days</w:t>
            </w:r>
            <w:r w:rsidRPr="00074652">
              <w:rPr>
                <w:rStyle w:val="FootnoteReference"/>
                <w:rFonts w:cs="Calibri"/>
                <w:b/>
                <w:bCs/>
              </w:rPr>
              <w:footnoteReference w:id="2"/>
            </w:r>
          </w:p>
        </w:tc>
        <w:tc>
          <w:tcPr>
            <w:tcW w:w="736" w:type="pct"/>
            <w:shd w:val="clear" w:color="auto" w:fill="D7DCEC"/>
            <w:noWrap/>
          </w:tcPr>
          <w:p w:rsidR="001B40A2" w:rsidRPr="00616483" w:rsidRDefault="001B40A2" w:rsidP="001B40A2">
            <w:pPr>
              <w:spacing w:after="0" w:line="240" w:lineRule="auto"/>
              <w:jc w:val="center"/>
              <w:rPr>
                <w:rFonts w:cs="Calibri"/>
              </w:rPr>
            </w:pPr>
            <w:r>
              <w:rPr>
                <w:rFonts w:cs="Calibri"/>
              </w:rPr>
              <w:t>3.9</w:t>
            </w:r>
          </w:p>
        </w:tc>
        <w:tc>
          <w:tcPr>
            <w:tcW w:w="736" w:type="pct"/>
            <w:shd w:val="clear" w:color="auto" w:fill="D7DCEC"/>
            <w:noWrap/>
          </w:tcPr>
          <w:p w:rsidR="001B40A2" w:rsidRPr="00074652" w:rsidRDefault="001B40A2" w:rsidP="001B40A2">
            <w:pPr>
              <w:spacing w:after="0" w:line="240" w:lineRule="auto"/>
              <w:jc w:val="center"/>
              <w:rPr>
                <w:rFonts w:cs="Calibri"/>
              </w:rPr>
            </w:pPr>
            <w:r>
              <w:rPr>
                <w:rFonts w:cs="Calibri"/>
              </w:rPr>
              <w:t>3.3</w:t>
            </w:r>
          </w:p>
        </w:tc>
        <w:tc>
          <w:tcPr>
            <w:tcW w:w="557" w:type="pct"/>
            <w:shd w:val="clear" w:color="auto" w:fill="D7DCEC"/>
            <w:noWrap/>
          </w:tcPr>
          <w:p w:rsidR="001B40A2" w:rsidRPr="00074652" w:rsidRDefault="001B40A2" w:rsidP="00BF5653">
            <w:pPr>
              <w:spacing w:after="0" w:line="240" w:lineRule="auto"/>
              <w:jc w:val="center"/>
              <w:rPr>
                <w:rFonts w:cs="Calibri"/>
              </w:rPr>
            </w:pPr>
            <w:r>
              <w:rPr>
                <w:rFonts w:cs="Calibri"/>
              </w:rPr>
              <w:t>3.6</w:t>
            </w:r>
          </w:p>
        </w:tc>
        <w:tc>
          <w:tcPr>
            <w:tcW w:w="1328" w:type="pct"/>
            <w:shd w:val="clear" w:color="auto" w:fill="D7DCEC"/>
            <w:noWrap/>
          </w:tcPr>
          <w:p w:rsidR="001B40A2" w:rsidRPr="00074652" w:rsidRDefault="001B40A2" w:rsidP="00BF5653">
            <w:pPr>
              <w:spacing w:after="0" w:line="240" w:lineRule="auto"/>
              <w:jc w:val="center"/>
              <w:rPr>
                <w:rFonts w:cs="Calibri"/>
              </w:rPr>
            </w:pPr>
            <w:r w:rsidRPr="00074652">
              <w:rPr>
                <w:rFonts w:cs="Calibri"/>
              </w:rPr>
              <w:t>2.6</w:t>
            </w:r>
          </w:p>
        </w:tc>
      </w:tr>
      <w:tr w:rsidR="001B40A2" w:rsidRPr="00074652">
        <w:trPr>
          <w:trHeight w:val="300"/>
        </w:trPr>
        <w:tc>
          <w:tcPr>
            <w:tcW w:w="1643" w:type="pct"/>
            <w:noWrap/>
          </w:tcPr>
          <w:p w:rsidR="001B40A2" w:rsidRPr="00074652" w:rsidRDefault="001B40A2" w:rsidP="00BF5653">
            <w:pPr>
              <w:spacing w:after="0" w:line="240" w:lineRule="auto"/>
              <w:rPr>
                <w:rFonts w:cs="Calibri"/>
                <w:b/>
                <w:bCs/>
                <w:vertAlign w:val="superscript"/>
              </w:rPr>
            </w:pPr>
            <w:r w:rsidRPr="00074652">
              <w:rPr>
                <w:rFonts w:cs="Calibri"/>
                <w:b/>
                <w:bCs/>
              </w:rPr>
              <w:t>Low birth weight</w:t>
            </w:r>
            <w:r w:rsidRPr="00074652">
              <w:rPr>
                <w:rStyle w:val="FootnoteReference"/>
                <w:rFonts w:cs="Calibri"/>
                <w:b/>
                <w:bCs/>
              </w:rPr>
              <w:footnoteReference w:id="3"/>
            </w:r>
          </w:p>
        </w:tc>
        <w:tc>
          <w:tcPr>
            <w:tcW w:w="736" w:type="pct"/>
            <w:noWrap/>
          </w:tcPr>
          <w:p w:rsidR="001B40A2" w:rsidRPr="00616483" w:rsidRDefault="001B40A2" w:rsidP="001B40A2">
            <w:pPr>
              <w:spacing w:after="0" w:line="240" w:lineRule="auto"/>
              <w:jc w:val="center"/>
              <w:rPr>
                <w:rFonts w:cs="Calibri"/>
              </w:rPr>
            </w:pPr>
            <w:r>
              <w:rPr>
                <w:rFonts w:cs="Calibri"/>
              </w:rPr>
              <w:t>7.4</w:t>
            </w:r>
            <w:r w:rsidRPr="00616483">
              <w:rPr>
                <w:rFonts w:cs="Calibri"/>
              </w:rPr>
              <w:t>%</w:t>
            </w:r>
          </w:p>
        </w:tc>
        <w:tc>
          <w:tcPr>
            <w:tcW w:w="736" w:type="pct"/>
            <w:noWrap/>
          </w:tcPr>
          <w:p w:rsidR="001B40A2" w:rsidRPr="00074652" w:rsidRDefault="001B40A2" w:rsidP="001B40A2">
            <w:pPr>
              <w:spacing w:after="0" w:line="240" w:lineRule="auto"/>
              <w:jc w:val="center"/>
              <w:rPr>
                <w:rFonts w:cs="Calibri"/>
              </w:rPr>
            </w:pPr>
            <w:r>
              <w:rPr>
                <w:rFonts w:cs="Calibri"/>
              </w:rPr>
              <w:t>7.2</w:t>
            </w:r>
            <w:r w:rsidRPr="00074652">
              <w:rPr>
                <w:rFonts w:cs="Calibri"/>
              </w:rPr>
              <w:t>%</w:t>
            </w:r>
          </w:p>
        </w:tc>
        <w:tc>
          <w:tcPr>
            <w:tcW w:w="557" w:type="pct"/>
            <w:noWrap/>
          </w:tcPr>
          <w:p w:rsidR="001B40A2" w:rsidRPr="00074652" w:rsidRDefault="001B40A2" w:rsidP="00BF5653">
            <w:pPr>
              <w:spacing w:after="0" w:line="240" w:lineRule="auto"/>
              <w:jc w:val="center"/>
              <w:rPr>
                <w:rFonts w:cs="Calibri"/>
              </w:rPr>
            </w:pPr>
            <w:r>
              <w:rPr>
                <w:rFonts w:cs="Calibri"/>
              </w:rPr>
              <w:t>8.1</w:t>
            </w:r>
            <w:r w:rsidRPr="00074652">
              <w:rPr>
                <w:rFonts w:cs="Calibri"/>
              </w:rPr>
              <w:t>%</w:t>
            </w:r>
          </w:p>
        </w:tc>
        <w:tc>
          <w:tcPr>
            <w:tcW w:w="1328" w:type="pct"/>
            <w:noWrap/>
          </w:tcPr>
          <w:p w:rsidR="001B40A2" w:rsidRPr="00074652" w:rsidRDefault="001B40A2" w:rsidP="00BF5653">
            <w:pPr>
              <w:spacing w:after="0" w:line="240" w:lineRule="auto"/>
              <w:jc w:val="center"/>
              <w:rPr>
                <w:rFonts w:cs="Calibri"/>
              </w:rPr>
            </w:pPr>
            <w:r w:rsidRPr="00074652">
              <w:rPr>
                <w:rFonts w:cs="Calibri"/>
              </w:rPr>
              <w:t>6.0%</w:t>
            </w:r>
          </w:p>
        </w:tc>
      </w:tr>
    </w:tbl>
    <w:p w:rsidR="00BF5653" w:rsidRPr="00074652" w:rsidRDefault="00BF5653" w:rsidP="00BF5653">
      <w:pPr>
        <w:pStyle w:val="Heading5"/>
        <w:rPr>
          <w:rStyle w:val="SubtleReference1"/>
          <w:iCs/>
          <w:color w:val="auto"/>
        </w:rPr>
      </w:pPr>
      <w:r w:rsidRPr="00074652">
        <w:rPr>
          <w:rStyle w:val="SubtleReference1"/>
          <w:rFonts w:ascii="Cambria" w:hAnsi="Cambria"/>
          <w:i w:val="0"/>
          <w:color w:val="auto"/>
        </w:rPr>
        <w:t>Discussion</w:t>
      </w:r>
    </w:p>
    <w:p w:rsidR="001B40A2" w:rsidRPr="005122D2" w:rsidRDefault="001B40A2" w:rsidP="001B40A2">
      <w:r w:rsidRPr="005122D2">
        <w:t>Self-reported health measures, such as the first three in the table above, are often used to determine the overall health of a population and have been shown to be very reliable indicators of current health.</w:t>
      </w:r>
      <w:r w:rsidRPr="005122D2">
        <w:rPr>
          <w:vertAlign w:val="superscript"/>
        </w:rPr>
        <w:t xml:space="preserve">123  </w:t>
      </w:r>
      <w:r w:rsidRPr="005122D2">
        <w:t xml:space="preserve"> Linn County has experienced a slight decrease in all three of the indicators listed from 2011 to 2012, so the trend should be noted.  In addition, the county is higher than the Nati</w:t>
      </w:r>
      <w:r w:rsidR="00596B54" w:rsidRPr="005122D2">
        <w:t>onal Benchmark in every measure,</w:t>
      </w:r>
      <w:r w:rsidRPr="005122D2">
        <w:t xml:space="preserve"> but it remains lower than the state of Missouri in low infant birth weight.  </w:t>
      </w:r>
    </w:p>
    <w:p w:rsidR="001B40A2" w:rsidRPr="005122D2" w:rsidRDefault="001B40A2" w:rsidP="001B40A2">
      <w:r w:rsidRPr="005122D2">
        <w:t>Low birth weight, as defined by the World Health Organization, is the percent of live births in which the infant weighed less than 2,500 grams (5 lbs., 8 oz.).  The measurement is representative of two factors: maternal exposure to health risks and an infant’s current and future morbidity, as well as premature mortality risk.  In addition, there are numerous health consequences that coincide with low birth weight.</w:t>
      </w:r>
      <w:r w:rsidRPr="005122D2">
        <w:rPr>
          <w:vertAlign w:val="superscript"/>
        </w:rPr>
        <w:t xml:space="preserve">4   </w:t>
      </w:r>
      <w:r w:rsidRPr="005122D2">
        <w:t>Again, L</w:t>
      </w:r>
      <w:r w:rsidR="001C004F" w:rsidRPr="005122D2">
        <w:t>inn</w:t>
      </w:r>
      <w:r w:rsidRPr="005122D2">
        <w:t xml:space="preserve"> County experienced a slight decrease for this measure.  Currently, it is slightly below the Missouri average and above the National Benchmark.  There may be some resources lacking that could be used to improve this figure.</w:t>
      </w:r>
    </w:p>
    <w:p w:rsidR="001B40A2" w:rsidRPr="005122D2" w:rsidRDefault="001B40A2" w:rsidP="001B40A2">
      <w:r w:rsidRPr="005122D2">
        <w:t>For the overall morbidity measures, Linn County ranked 54</w:t>
      </w:r>
      <w:r w:rsidRPr="005122D2">
        <w:rPr>
          <w:vertAlign w:val="superscript"/>
        </w:rPr>
        <w:t>th</w:t>
      </w:r>
      <w:r w:rsidRPr="005122D2">
        <w:t xml:space="preserve"> out of the 115 counties evaluated.  The primary reason for a lower rating in this category can be attributed to a higher than average number of low birth weights.  This indicator carries more weight since it is of more importance than the other indicators. The county ranks in the middle third (42 of 115) for health outcomes (mortality and morbidity) in the state of Missouri, so there is still room for improvement and </w:t>
      </w:r>
      <w:r w:rsidR="005122D2" w:rsidRPr="005122D2">
        <w:t xml:space="preserve">an </w:t>
      </w:r>
      <w:r w:rsidRPr="005122D2">
        <w:t xml:space="preserve">increase in focus on the above measures. </w:t>
      </w:r>
    </w:p>
    <w:p w:rsidR="00BF5653" w:rsidRDefault="00BF5653" w:rsidP="00BF5653"/>
    <w:p w:rsidR="00BF5653" w:rsidRDefault="00BF5653" w:rsidP="00BF5653"/>
    <w:p w:rsidR="00BF5653" w:rsidRDefault="00BF5653" w:rsidP="00BF5653"/>
    <w:p w:rsidR="005310AA" w:rsidRDefault="005310AA" w:rsidP="00BF5653"/>
    <w:p w:rsidR="00BF5653" w:rsidRPr="00074652" w:rsidRDefault="00BF5653" w:rsidP="00BF5653">
      <w:pPr>
        <w:pStyle w:val="Heading3"/>
        <w:rPr>
          <w:color w:val="auto"/>
        </w:rPr>
      </w:pPr>
      <w:bookmarkStart w:id="66" w:name="_Toc318638273"/>
      <w:bookmarkStart w:id="67" w:name="_Toc229126461"/>
      <w:r>
        <w:rPr>
          <w:color w:val="auto"/>
        </w:rPr>
        <w:t>Morbidity Measures – Figure 2.3</w:t>
      </w:r>
      <w:bookmarkEnd w:id="66"/>
      <w:bookmarkEnd w:id="67"/>
    </w:p>
    <w:p w:rsidR="00BF5653" w:rsidRDefault="00FA23ED" w:rsidP="00BF5653">
      <w:r>
        <w:rPr>
          <w:noProof/>
        </w:rPr>
        <w:drawing>
          <wp:anchor distT="15488" distB="23878" distL="129208" distR="137284" simplePos="0" relativeHeight="251650048" behindDoc="1" locked="0" layoutInCell="1" allowOverlap="1">
            <wp:simplePos x="0" y="0"/>
            <wp:positionH relativeFrom="column">
              <wp:posOffset>14908</wp:posOffset>
            </wp:positionH>
            <wp:positionV relativeFrom="paragraph">
              <wp:posOffset>5963</wp:posOffset>
            </wp:positionV>
            <wp:extent cx="6134100" cy="3275330"/>
            <wp:effectExtent l="19050" t="19050" r="19050" b="20320"/>
            <wp:wrapNone/>
            <wp:docPr id="6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9C7D3D" w:rsidRDefault="009C7D3D" w:rsidP="00BF5653">
      <w:pPr>
        <w:jc w:val="center"/>
        <w:rPr>
          <w:noProof/>
        </w:rPr>
      </w:pPr>
    </w:p>
    <w:p w:rsidR="009C7D3D" w:rsidRDefault="009C7D3D" w:rsidP="00BF5653">
      <w:pPr>
        <w:jc w:val="center"/>
        <w:rPr>
          <w:noProof/>
        </w:rPr>
      </w:pPr>
    </w:p>
    <w:p w:rsidR="009C7D3D" w:rsidRDefault="009C7D3D" w:rsidP="00BF5653">
      <w:pPr>
        <w:jc w:val="center"/>
        <w:rPr>
          <w:noProof/>
        </w:rPr>
      </w:pPr>
    </w:p>
    <w:p w:rsidR="009C7D3D" w:rsidRDefault="009C7D3D" w:rsidP="00BF5653">
      <w:pPr>
        <w:jc w:val="center"/>
        <w:rPr>
          <w:noProof/>
        </w:rPr>
      </w:pPr>
    </w:p>
    <w:p w:rsidR="009C7D3D" w:rsidRDefault="009C7D3D" w:rsidP="00BF5653">
      <w:pPr>
        <w:jc w:val="center"/>
        <w:rPr>
          <w:noProof/>
        </w:rPr>
      </w:pPr>
    </w:p>
    <w:p w:rsidR="009C7D3D" w:rsidRDefault="009C7D3D" w:rsidP="00BF5653">
      <w:pPr>
        <w:jc w:val="center"/>
        <w:rPr>
          <w:noProof/>
        </w:rPr>
      </w:pPr>
    </w:p>
    <w:p w:rsidR="009C7D3D" w:rsidRDefault="009C7D3D" w:rsidP="00BF5653">
      <w:pPr>
        <w:jc w:val="center"/>
        <w:rPr>
          <w:noProof/>
        </w:rPr>
      </w:pPr>
    </w:p>
    <w:p w:rsidR="001F3554" w:rsidRDefault="00BF5653" w:rsidP="00BF5653">
      <w:pPr>
        <w:jc w:val="center"/>
        <w:rPr>
          <w:i/>
        </w:rPr>
      </w:pPr>
      <w:r>
        <w:rPr>
          <w:noProof/>
        </w:rPr>
        <w:br/>
      </w:r>
    </w:p>
    <w:p w:rsidR="001F3554" w:rsidRDefault="001F3554" w:rsidP="00BF5653">
      <w:pPr>
        <w:jc w:val="center"/>
        <w:rPr>
          <w:i/>
        </w:rPr>
      </w:pPr>
    </w:p>
    <w:p w:rsidR="001F3554" w:rsidRDefault="001F3554" w:rsidP="00BF5653">
      <w:pPr>
        <w:jc w:val="center"/>
        <w:rPr>
          <w:i/>
        </w:rPr>
      </w:pPr>
    </w:p>
    <w:p w:rsidR="00BF5653" w:rsidRPr="00DC3379" w:rsidRDefault="00BF5653" w:rsidP="00BF5653">
      <w:pPr>
        <w:jc w:val="center"/>
        <w:rPr>
          <w:rStyle w:val="Hyperlink"/>
        </w:rPr>
      </w:pPr>
      <w:r w:rsidRPr="00DC3379">
        <w:rPr>
          <w:i/>
        </w:rPr>
        <w:t>Source:</w:t>
      </w:r>
      <w:r w:rsidRPr="00DC3379">
        <w:t xml:space="preserve">  </w:t>
      </w:r>
      <w:r w:rsidRPr="00DC3379">
        <w:rPr>
          <w:u w:val="single"/>
        </w:rPr>
        <w:t>http://www.countyhealthrankings.org/</w:t>
      </w:r>
      <w:r w:rsidR="009C7D3D">
        <w:rPr>
          <w:u w:val="single"/>
        </w:rPr>
        <w:t>missouri</w:t>
      </w:r>
      <w:r w:rsidRPr="00DC3379">
        <w:rPr>
          <w:u w:val="single"/>
        </w:rPr>
        <w:t>/l</w:t>
      </w:r>
      <w:r w:rsidR="0051238D">
        <w:rPr>
          <w:u w:val="single"/>
        </w:rPr>
        <w:t>inn</w:t>
      </w:r>
    </w:p>
    <w:p w:rsidR="00BF5653" w:rsidRPr="00566CB3" w:rsidRDefault="00BF5653" w:rsidP="00BF5653">
      <w:pPr>
        <w:jc w:val="center"/>
      </w:pPr>
      <w:r w:rsidRPr="00566CB3">
        <w:t>DISCUSSION</w:t>
      </w:r>
    </w:p>
    <w:p w:rsidR="00BF5653" w:rsidRPr="005122D2" w:rsidRDefault="00BF5653" w:rsidP="00BF5653">
      <w:r w:rsidRPr="005122D2">
        <w:t xml:space="preserve">Overall health is dependent upon both physical and mental </w:t>
      </w:r>
      <w:r w:rsidR="0037480F" w:rsidRPr="005122D2">
        <w:t>well-being</w:t>
      </w:r>
      <w:r w:rsidRPr="005122D2">
        <w:t>.  By measuring the number of days an individual reports that their mental health is poor, represents an important facet of health-related quality of life.  Identifying and understanding the health-related quality of life of the population helps the communities identify unmet health needs, assess health disparities among demographic and socioeconomic subpopulations, characterize the burden of disabilities and chronic diseases, and track population patterns and trends.</w:t>
      </w:r>
      <w:r w:rsidRPr="005122D2">
        <w:rPr>
          <w:rStyle w:val="FootnoteReference"/>
        </w:rPr>
        <w:footnoteReference w:id="4"/>
      </w:r>
    </w:p>
    <w:p w:rsidR="00BF5653" w:rsidRPr="005122D2" w:rsidRDefault="001F3554" w:rsidP="00BF5653">
      <w:r w:rsidRPr="005122D2">
        <w:t>As</w:t>
      </w:r>
      <w:r w:rsidR="00E46B27" w:rsidRPr="005122D2">
        <w:t xml:space="preserve"> seen in Figure 2.3, Linn</w:t>
      </w:r>
      <w:r w:rsidRPr="005122D2">
        <w:t xml:space="preserve"> County continues to be above the Missouri benchmark and well above the </w:t>
      </w:r>
      <w:r w:rsidR="00114006" w:rsidRPr="005122D2">
        <w:t>National Benchmark</w:t>
      </w:r>
      <w:r w:rsidRPr="005122D2">
        <w:t xml:space="preserve">.  </w:t>
      </w:r>
      <w:r w:rsidR="00E46B27" w:rsidRPr="005122D2">
        <w:t>With an</w:t>
      </w:r>
      <w:r w:rsidRPr="005122D2">
        <w:t xml:space="preserve"> increase from 2011 to 2012</w:t>
      </w:r>
      <w:r w:rsidR="00BF5653" w:rsidRPr="005122D2">
        <w:t xml:space="preserve"> there is </w:t>
      </w:r>
      <w:r w:rsidRPr="005122D2">
        <w:t>a need to focus on this measure because it is still elevated above both the Missouri and U.S. benchmarks.</w:t>
      </w:r>
    </w:p>
    <w:p w:rsidR="00BF5653" w:rsidRDefault="00BF5653" w:rsidP="00BF5653">
      <w:pPr>
        <w:rPr>
          <w:sz w:val="24"/>
          <w:szCs w:val="24"/>
        </w:rPr>
      </w:pPr>
    </w:p>
    <w:p w:rsidR="00532278" w:rsidRDefault="00532278" w:rsidP="00BF5653">
      <w:pPr>
        <w:rPr>
          <w:sz w:val="24"/>
          <w:szCs w:val="24"/>
        </w:rPr>
      </w:pPr>
    </w:p>
    <w:p w:rsidR="00BF5653" w:rsidRDefault="00BF5653" w:rsidP="00BF5653">
      <w:pPr>
        <w:rPr>
          <w:sz w:val="24"/>
          <w:szCs w:val="24"/>
        </w:rPr>
      </w:pPr>
    </w:p>
    <w:p w:rsidR="00E46B27" w:rsidRDefault="00E46B27" w:rsidP="00BF5653">
      <w:pPr>
        <w:rPr>
          <w:sz w:val="24"/>
          <w:szCs w:val="24"/>
        </w:rPr>
      </w:pPr>
    </w:p>
    <w:p w:rsidR="00E46B27" w:rsidRDefault="00E46B27" w:rsidP="00BF5653">
      <w:pPr>
        <w:rPr>
          <w:sz w:val="24"/>
          <w:szCs w:val="24"/>
        </w:rPr>
      </w:pPr>
    </w:p>
    <w:p w:rsidR="00BF5653" w:rsidRDefault="00BF5653" w:rsidP="00BF5653">
      <w:pPr>
        <w:pStyle w:val="Heading3"/>
        <w:rPr>
          <w:color w:val="auto"/>
        </w:rPr>
      </w:pPr>
      <w:bookmarkStart w:id="68" w:name="_Toc318638274"/>
      <w:bookmarkStart w:id="69" w:name="_Toc229126462"/>
      <w:r>
        <w:rPr>
          <w:color w:val="auto"/>
        </w:rPr>
        <w:t>Morbidity Measures – Figure 2.4</w:t>
      </w:r>
      <w:bookmarkEnd w:id="68"/>
      <w:bookmarkEnd w:id="69"/>
    </w:p>
    <w:p w:rsidR="00BF5653" w:rsidRPr="00DC3379" w:rsidRDefault="00BF5653" w:rsidP="00BF5653">
      <w:pPr>
        <w:rPr>
          <w:u w:val="single"/>
        </w:rPr>
      </w:pPr>
      <w:r w:rsidRPr="00DC3379">
        <w:t xml:space="preserve">Source: </w:t>
      </w:r>
      <w:r w:rsidR="00725BC1" w:rsidRPr="00725BC1">
        <w:rPr>
          <w:u w:val="single"/>
        </w:rPr>
        <w:t>http://www.countyhealthrankings.org/app/missouri/2012/measures/additional/62/data</w:t>
      </w:r>
    </w:p>
    <w:p w:rsidR="00BF5653" w:rsidRDefault="00BF5653" w:rsidP="00BF5653"/>
    <w:tbl>
      <w:tblPr>
        <w:tblpPr w:horzAnchor="margin" w:tblpXSpec="center" w:tblpY="780"/>
        <w:tblW w:w="0" w:type="auto"/>
        <w:tblBorders>
          <w:top w:val="single" w:sz="18" w:space="0" w:color="5F76B4"/>
          <w:left w:val="single" w:sz="18" w:space="0" w:color="5F76B4"/>
          <w:bottom w:val="single" w:sz="18" w:space="0" w:color="5F76B4"/>
          <w:right w:val="single" w:sz="18" w:space="0" w:color="5F76B4"/>
          <w:insideH w:val="single" w:sz="18" w:space="0" w:color="5F76B4"/>
          <w:insideV w:val="single" w:sz="18" w:space="0" w:color="5F76B4"/>
        </w:tblBorders>
        <w:tblLook w:val="00A0" w:firstRow="1" w:lastRow="0" w:firstColumn="1" w:lastColumn="0" w:noHBand="0" w:noVBand="0"/>
      </w:tblPr>
      <w:tblGrid>
        <w:gridCol w:w="2672"/>
        <w:gridCol w:w="2453"/>
        <w:gridCol w:w="1728"/>
        <w:gridCol w:w="1622"/>
        <w:gridCol w:w="1101"/>
      </w:tblGrid>
      <w:tr w:rsidR="00C217C8" w:rsidRPr="003A22E9">
        <w:trPr>
          <w:trHeight w:val="300"/>
        </w:trPr>
        <w:tc>
          <w:tcPr>
            <w:tcW w:w="0" w:type="auto"/>
            <w:vAlign w:val="center"/>
          </w:tcPr>
          <w:p w:rsidR="00BF5653" w:rsidRPr="00DD16BA" w:rsidRDefault="00BF5653" w:rsidP="00BF5653">
            <w:pPr>
              <w:pStyle w:val="DefaultParagraph"/>
              <w:jc w:val="center"/>
              <w:rPr>
                <w:rFonts w:ascii="Cambria" w:hAnsi="Cambria"/>
                <w:b/>
                <w:sz w:val="22"/>
                <w:szCs w:val="22"/>
              </w:rPr>
            </w:pPr>
          </w:p>
        </w:tc>
        <w:tc>
          <w:tcPr>
            <w:tcW w:w="0" w:type="auto"/>
            <w:vAlign w:val="center"/>
          </w:tcPr>
          <w:p w:rsidR="00BF5653" w:rsidRPr="00DD16BA" w:rsidRDefault="00BF5653" w:rsidP="00C217C8">
            <w:pPr>
              <w:pStyle w:val="DefaultParagraph"/>
              <w:spacing w:line="220" w:lineRule="exact"/>
              <w:ind w:left="420"/>
              <w:jc w:val="center"/>
              <w:rPr>
                <w:rFonts w:ascii="Cambria" w:hAnsi="Cambria" w:cs="Cambria"/>
                <w:b/>
                <w:bCs/>
                <w:sz w:val="22"/>
                <w:szCs w:val="22"/>
              </w:rPr>
            </w:pPr>
            <w:r w:rsidRPr="00DD16BA">
              <w:rPr>
                <w:rFonts w:ascii="Cambria" w:hAnsi="Cambria" w:cs="Cambria"/>
                <w:b/>
                <w:bCs/>
                <w:sz w:val="22"/>
                <w:szCs w:val="22"/>
              </w:rPr>
              <w:t>L</w:t>
            </w:r>
            <w:r w:rsidR="00C217C8">
              <w:rPr>
                <w:rFonts w:ascii="Cambria" w:hAnsi="Cambria" w:cs="Cambria"/>
                <w:b/>
                <w:bCs/>
                <w:sz w:val="22"/>
                <w:szCs w:val="22"/>
              </w:rPr>
              <w:t xml:space="preserve">ivingston </w:t>
            </w:r>
            <w:r w:rsidRPr="00DD16BA">
              <w:rPr>
                <w:rFonts w:ascii="Cambria" w:hAnsi="Cambria" w:cs="Cambria"/>
                <w:b/>
                <w:bCs/>
                <w:sz w:val="22"/>
                <w:szCs w:val="22"/>
              </w:rPr>
              <w:t>County</w:t>
            </w:r>
          </w:p>
        </w:tc>
        <w:tc>
          <w:tcPr>
            <w:tcW w:w="0" w:type="auto"/>
            <w:vAlign w:val="center"/>
          </w:tcPr>
          <w:p w:rsidR="00BF5653" w:rsidRPr="00DD16BA" w:rsidRDefault="00C217C8" w:rsidP="00BF5653">
            <w:pPr>
              <w:pStyle w:val="DefaultParagraph"/>
              <w:jc w:val="center"/>
              <w:rPr>
                <w:rFonts w:ascii="Cambria" w:hAnsi="Cambria"/>
                <w:b/>
                <w:sz w:val="22"/>
                <w:szCs w:val="22"/>
              </w:rPr>
            </w:pPr>
            <w:r>
              <w:rPr>
                <w:rFonts w:ascii="Cambria" w:hAnsi="Cambria"/>
                <w:b/>
                <w:sz w:val="22"/>
                <w:szCs w:val="22"/>
              </w:rPr>
              <w:t>Grundy</w:t>
            </w:r>
            <w:r w:rsidR="00BF5653" w:rsidRPr="00DD16BA">
              <w:rPr>
                <w:rFonts w:ascii="Cambria" w:hAnsi="Cambria"/>
                <w:b/>
                <w:sz w:val="22"/>
                <w:szCs w:val="22"/>
              </w:rPr>
              <w:t xml:space="preserve"> County</w:t>
            </w:r>
          </w:p>
        </w:tc>
        <w:tc>
          <w:tcPr>
            <w:tcW w:w="0" w:type="auto"/>
            <w:vAlign w:val="center"/>
          </w:tcPr>
          <w:p w:rsidR="00BF5653" w:rsidRPr="00DD16BA" w:rsidRDefault="00E46B27" w:rsidP="00BF5653">
            <w:pPr>
              <w:pStyle w:val="DefaultParagraph"/>
              <w:jc w:val="center"/>
              <w:rPr>
                <w:rFonts w:ascii="Cambria" w:hAnsi="Cambria"/>
                <w:b/>
                <w:sz w:val="22"/>
                <w:szCs w:val="22"/>
              </w:rPr>
            </w:pPr>
            <w:r>
              <w:rPr>
                <w:rFonts w:ascii="Cambria" w:hAnsi="Cambria"/>
                <w:b/>
                <w:sz w:val="22"/>
                <w:szCs w:val="22"/>
              </w:rPr>
              <w:t xml:space="preserve">Linn    </w:t>
            </w:r>
            <w:r w:rsidR="00C217C8">
              <w:rPr>
                <w:rFonts w:ascii="Cambria" w:hAnsi="Cambria"/>
                <w:b/>
                <w:sz w:val="22"/>
                <w:szCs w:val="22"/>
              </w:rPr>
              <w:t xml:space="preserve"> </w:t>
            </w:r>
            <w:r w:rsidR="00BF5653" w:rsidRPr="00DD16BA">
              <w:rPr>
                <w:rFonts w:ascii="Cambria" w:hAnsi="Cambria"/>
                <w:b/>
                <w:sz w:val="22"/>
                <w:szCs w:val="22"/>
              </w:rPr>
              <w:t>County</w:t>
            </w:r>
          </w:p>
        </w:tc>
        <w:tc>
          <w:tcPr>
            <w:tcW w:w="0" w:type="auto"/>
            <w:vAlign w:val="center"/>
          </w:tcPr>
          <w:p w:rsidR="00BF5653" w:rsidRPr="00DD16BA" w:rsidRDefault="00C217C8" w:rsidP="00BF5653">
            <w:pPr>
              <w:pStyle w:val="DefaultParagraph"/>
              <w:jc w:val="center"/>
              <w:rPr>
                <w:rFonts w:ascii="Cambria" w:hAnsi="Cambria"/>
                <w:b/>
                <w:sz w:val="22"/>
                <w:szCs w:val="22"/>
              </w:rPr>
            </w:pPr>
            <w:r>
              <w:rPr>
                <w:rFonts w:ascii="Cambria" w:hAnsi="Cambria"/>
                <w:b/>
                <w:sz w:val="22"/>
                <w:szCs w:val="22"/>
              </w:rPr>
              <w:t>Missouri</w:t>
            </w:r>
          </w:p>
        </w:tc>
      </w:tr>
      <w:tr w:rsidR="00C217C8" w:rsidRPr="002B7086">
        <w:trPr>
          <w:trHeight w:val="300"/>
        </w:trPr>
        <w:tc>
          <w:tcPr>
            <w:tcW w:w="0" w:type="auto"/>
            <w:shd w:val="clear" w:color="auto" w:fill="DBE5F1"/>
            <w:vAlign w:val="center"/>
          </w:tcPr>
          <w:p w:rsidR="00BF5653" w:rsidRPr="00DD16BA" w:rsidRDefault="00BF5653" w:rsidP="00BF5653">
            <w:pPr>
              <w:pStyle w:val="DefaultParagraph"/>
              <w:jc w:val="center"/>
              <w:rPr>
                <w:rFonts w:ascii="Cambria" w:hAnsi="Cambria"/>
                <w:b/>
                <w:sz w:val="22"/>
                <w:szCs w:val="22"/>
              </w:rPr>
            </w:pPr>
            <w:r w:rsidRPr="00DD16BA">
              <w:rPr>
                <w:rFonts w:ascii="Cambria" w:hAnsi="Cambria"/>
                <w:b/>
                <w:sz w:val="22"/>
                <w:szCs w:val="22"/>
              </w:rPr>
              <w:t>Mental Health Providers</w:t>
            </w:r>
          </w:p>
          <w:p w:rsidR="00BF5653" w:rsidRPr="00DD16BA" w:rsidRDefault="00BF5653" w:rsidP="00BF5653">
            <w:pPr>
              <w:pStyle w:val="DefaultParagraph"/>
              <w:jc w:val="center"/>
              <w:rPr>
                <w:rFonts w:ascii="Cambria" w:hAnsi="Cambria"/>
                <w:b/>
                <w:sz w:val="22"/>
                <w:szCs w:val="22"/>
              </w:rPr>
            </w:pPr>
            <w:r w:rsidRPr="00DD16BA">
              <w:rPr>
                <w:rFonts w:ascii="Cambria" w:hAnsi="Cambria"/>
                <w:b/>
                <w:sz w:val="22"/>
                <w:szCs w:val="22"/>
              </w:rPr>
              <w:t>per Person</w:t>
            </w:r>
          </w:p>
        </w:tc>
        <w:tc>
          <w:tcPr>
            <w:tcW w:w="0" w:type="auto"/>
            <w:shd w:val="clear" w:color="auto" w:fill="DBE5F1"/>
            <w:vAlign w:val="center"/>
          </w:tcPr>
          <w:p w:rsidR="00BF5653" w:rsidRPr="00DD16BA" w:rsidRDefault="00C217C8" w:rsidP="00BF5653">
            <w:pPr>
              <w:pStyle w:val="DefaultParagraph"/>
              <w:spacing w:line="220" w:lineRule="exact"/>
              <w:ind w:left="420"/>
              <w:jc w:val="center"/>
              <w:rPr>
                <w:rFonts w:ascii="Cambria" w:hAnsi="Cambria" w:cs="Cambria"/>
                <w:b/>
                <w:bCs/>
                <w:sz w:val="22"/>
                <w:szCs w:val="22"/>
              </w:rPr>
            </w:pPr>
            <w:r>
              <w:rPr>
                <w:rFonts w:ascii="Cambria" w:hAnsi="Cambria" w:cs="Cambria"/>
                <w:b/>
                <w:bCs/>
                <w:sz w:val="22"/>
                <w:szCs w:val="22"/>
              </w:rPr>
              <w:t>14,123:0</w:t>
            </w:r>
          </w:p>
        </w:tc>
        <w:tc>
          <w:tcPr>
            <w:tcW w:w="0" w:type="auto"/>
            <w:shd w:val="clear" w:color="auto" w:fill="DBE5F1"/>
            <w:vAlign w:val="center"/>
          </w:tcPr>
          <w:p w:rsidR="00BF5653" w:rsidRPr="00DD16BA" w:rsidRDefault="00C217C8" w:rsidP="00BF5653">
            <w:pPr>
              <w:pStyle w:val="DefaultParagraph"/>
              <w:jc w:val="center"/>
              <w:rPr>
                <w:rFonts w:ascii="Cambria" w:hAnsi="Cambria"/>
                <w:b/>
                <w:sz w:val="22"/>
                <w:szCs w:val="22"/>
              </w:rPr>
            </w:pPr>
            <w:r>
              <w:rPr>
                <w:rFonts w:ascii="Cambria" w:hAnsi="Cambria"/>
                <w:b/>
                <w:sz w:val="22"/>
                <w:szCs w:val="22"/>
              </w:rPr>
              <w:t>10,083:0</w:t>
            </w:r>
          </w:p>
        </w:tc>
        <w:tc>
          <w:tcPr>
            <w:tcW w:w="0" w:type="auto"/>
            <w:shd w:val="clear" w:color="auto" w:fill="DBE5F1"/>
            <w:vAlign w:val="center"/>
          </w:tcPr>
          <w:p w:rsidR="00BF5653" w:rsidRPr="00DD16BA" w:rsidRDefault="00725BC1" w:rsidP="00BF5653">
            <w:pPr>
              <w:pStyle w:val="DefaultParagraph"/>
              <w:jc w:val="center"/>
              <w:rPr>
                <w:rFonts w:ascii="Cambria" w:hAnsi="Cambria"/>
                <w:b/>
                <w:sz w:val="22"/>
                <w:szCs w:val="22"/>
              </w:rPr>
            </w:pPr>
            <w:r>
              <w:rPr>
                <w:rFonts w:ascii="Cambria" w:hAnsi="Cambria"/>
                <w:b/>
                <w:sz w:val="22"/>
                <w:szCs w:val="22"/>
              </w:rPr>
              <w:t>12,655</w:t>
            </w:r>
            <w:r w:rsidR="00C217C8">
              <w:rPr>
                <w:rFonts w:ascii="Cambria" w:hAnsi="Cambria"/>
                <w:b/>
                <w:sz w:val="22"/>
                <w:szCs w:val="22"/>
              </w:rPr>
              <w:t>:0</w:t>
            </w:r>
          </w:p>
        </w:tc>
        <w:tc>
          <w:tcPr>
            <w:tcW w:w="0" w:type="auto"/>
            <w:shd w:val="clear" w:color="auto" w:fill="DBE5F1"/>
            <w:vAlign w:val="center"/>
          </w:tcPr>
          <w:p w:rsidR="00BF5653" w:rsidRPr="00DD16BA" w:rsidRDefault="00C217C8" w:rsidP="00BF5653">
            <w:pPr>
              <w:pStyle w:val="DefaultParagraph"/>
              <w:jc w:val="center"/>
              <w:rPr>
                <w:rFonts w:ascii="Cambria" w:hAnsi="Cambria"/>
                <w:b/>
                <w:sz w:val="22"/>
                <w:szCs w:val="22"/>
              </w:rPr>
            </w:pPr>
            <w:r>
              <w:rPr>
                <w:rFonts w:ascii="Cambria" w:hAnsi="Cambria"/>
                <w:b/>
                <w:sz w:val="22"/>
                <w:szCs w:val="22"/>
              </w:rPr>
              <w:t>9,561</w:t>
            </w:r>
            <w:r w:rsidR="00BF5653" w:rsidRPr="00DD16BA">
              <w:rPr>
                <w:rFonts w:ascii="Cambria" w:hAnsi="Cambria"/>
                <w:b/>
                <w:sz w:val="22"/>
                <w:szCs w:val="22"/>
              </w:rPr>
              <w:t>:1</w:t>
            </w:r>
          </w:p>
        </w:tc>
      </w:tr>
    </w:tbl>
    <w:p w:rsidR="00BF5653" w:rsidRPr="00566CB3" w:rsidRDefault="00BF5653" w:rsidP="00BF5653">
      <w:pPr>
        <w:jc w:val="center"/>
      </w:pPr>
      <w:r w:rsidRPr="00566CB3">
        <w:t>DISCUSSION</w:t>
      </w:r>
    </w:p>
    <w:p w:rsidR="00BF5653" w:rsidRPr="005122D2" w:rsidRDefault="00BF5653" w:rsidP="00BF5653">
      <w:r w:rsidRPr="005122D2">
        <w:t>Mental health providers include psychiatrists, clinical psychologists, clinical social workers, psychiatric nurse specialists, and marriage/family therapists who meet certain qualifications and certifications.  According to Figure 2.4 L</w:t>
      </w:r>
      <w:r w:rsidR="00725BC1" w:rsidRPr="005122D2">
        <w:t>inn</w:t>
      </w:r>
      <w:r w:rsidRPr="005122D2">
        <w:t xml:space="preserve"> County is significantly lacking in mental health providers for their community compared to </w:t>
      </w:r>
      <w:r w:rsidR="00FD2716" w:rsidRPr="005122D2">
        <w:t>the state of Missouri</w:t>
      </w:r>
      <w:r w:rsidRPr="005122D2">
        <w:t>.  With an increased number of soldiers returning from the Middle East, a majority of these individuals will be in need of mental health treatment because approximately 18.5 percent of returning service members meets the criteria of either PTSD or depression.</w:t>
      </w:r>
      <w:r w:rsidRPr="005122D2">
        <w:rPr>
          <w:rStyle w:val="FootnoteReference"/>
        </w:rPr>
        <w:footnoteReference w:id="5"/>
      </w:r>
      <w:r w:rsidRPr="005122D2">
        <w:t xml:space="preserve">  </w:t>
      </w:r>
    </w:p>
    <w:p w:rsidR="00BF5653" w:rsidRPr="00074652" w:rsidRDefault="00BF5653" w:rsidP="00BF5653"/>
    <w:p w:rsidR="00BF5653" w:rsidRPr="00074652" w:rsidRDefault="00BF5653" w:rsidP="00BF5653">
      <w:pPr>
        <w:pStyle w:val="Heading2"/>
        <w:rPr>
          <w:color w:val="auto"/>
        </w:rPr>
      </w:pPr>
      <w:r w:rsidRPr="00074652">
        <w:rPr>
          <w:color w:val="auto"/>
        </w:rPr>
        <w:br w:type="page"/>
      </w:r>
      <w:bookmarkStart w:id="70" w:name="_Toc292981206"/>
      <w:bookmarkStart w:id="71" w:name="_Toc318638275"/>
      <w:bookmarkStart w:id="72" w:name="_Toc229126463"/>
      <w:r w:rsidRPr="00074652">
        <w:rPr>
          <w:color w:val="auto"/>
        </w:rPr>
        <w:lastRenderedPageBreak/>
        <w:t>Health Factors</w:t>
      </w:r>
      <w:bookmarkEnd w:id="70"/>
      <w:bookmarkEnd w:id="71"/>
      <w:bookmarkEnd w:id="72"/>
    </w:p>
    <w:p w:rsidR="00BF5653" w:rsidRPr="00074652" w:rsidRDefault="00BF5653" w:rsidP="00BF5653">
      <w:pPr>
        <w:pStyle w:val="Heading3"/>
        <w:rPr>
          <w:color w:val="auto"/>
        </w:rPr>
      </w:pPr>
      <w:bookmarkStart w:id="73" w:name="_Toc292981207"/>
      <w:bookmarkStart w:id="74" w:name="_Toc318638276"/>
      <w:bookmarkStart w:id="75" w:name="_Toc229126464"/>
      <w:r w:rsidRPr="00074652">
        <w:rPr>
          <w:bCs/>
          <w:color w:val="auto"/>
        </w:rPr>
        <w:t>Clinical Care</w:t>
      </w:r>
      <w:r w:rsidRPr="00074652">
        <w:rPr>
          <w:color w:val="auto"/>
        </w:rPr>
        <w:t xml:space="preserve"> – Figure 2.</w:t>
      </w:r>
      <w:bookmarkEnd w:id="73"/>
      <w:r>
        <w:rPr>
          <w:color w:val="auto"/>
        </w:rPr>
        <w:t>5</w:t>
      </w:r>
      <w:bookmarkEnd w:id="74"/>
      <w:bookmarkEnd w:id="75"/>
    </w:p>
    <w:tbl>
      <w:tblPr>
        <w:tblW w:w="5000" w:type="pct"/>
        <w:tblBorders>
          <w:top w:val="single" w:sz="18" w:space="0" w:color="6076B4"/>
          <w:left w:val="single" w:sz="18" w:space="0" w:color="6076B4"/>
          <w:bottom w:val="single" w:sz="18" w:space="0" w:color="6076B4"/>
          <w:right w:val="single" w:sz="18" w:space="0" w:color="6076B4"/>
          <w:insideH w:val="single" w:sz="18" w:space="0" w:color="6076B4"/>
          <w:insideV w:val="single" w:sz="18" w:space="0" w:color="6076B4"/>
        </w:tblBorders>
        <w:tblLook w:val="00A0" w:firstRow="1" w:lastRow="0" w:firstColumn="1" w:lastColumn="0" w:noHBand="0" w:noVBand="0"/>
      </w:tblPr>
      <w:tblGrid>
        <w:gridCol w:w="3540"/>
        <w:gridCol w:w="1300"/>
        <w:gridCol w:w="1302"/>
        <w:gridCol w:w="1111"/>
        <w:gridCol w:w="2323"/>
      </w:tblGrid>
      <w:tr w:rsidR="00BF5653" w:rsidRPr="00074652" w:rsidTr="008F657E">
        <w:trPr>
          <w:trHeight w:val="412"/>
        </w:trPr>
        <w:tc>
          <w:tcPr>
            <w:tcW w:w="1848" w:type="pct"/>
            <w:noWrap/>
          </w:tcPr>
          <w:p w:rsidR="00BF5653" w:rsidRPr="00074652" w:rsidRDefault="00BF5653" w:rsidP="00BF5653">
            <w:pPr>
              <w:spacing w:after="0" w:line="240" w:lineRule="auto"/>
              <w:rPr>
                <w:rFonts w:ascii="Calibri" w:hAnsi="Calibri" w:cs="Calibri"/>
                <w:b/>
                <w:bCs/>
              </w:rPr>
            </w:pPr>
          </w:p>
        </w:tc>
        <w:tc>
          <w:tcPr>
            <w:tcW w:w="1359" w:type="pct"/>
            <w:gridSpan w:val="2"/>
            <w:noWrap/>
          </w:tcPr>
          <w:p w:rsidR="00BF5653" w:rsidRPr="00074652" w:rsidRDefault="00BF5653" w:rsidP="008F657E">
            <w:pPr>
              <w:spacing w:after="0" w:line="240" w:lineRule="auto"/>
              <w:jc w:val="center"/>
              <w:rPr>
                <w:rStyle w:val="SubtleEmphasis1"/>
                <w:b/>
                <w:bCs/>
                <w:i w:val="0"/>
                <w:iCs/>
                <w:sz w:val="24"/>
              </w:rPr>
            </w:pPr>
            <w:r w:rsidRPr="00074652">
              <w:rPr>
                <w:rStyle w:val="SubtleEmphasis1"/>
                <w:bCs/>
                <w:i w:val="0"/>
                <w:iCs/>
                <w:sz w:val="24"/>
              </w:rPr>
              <w:t>L</w:t>
            </w:r>
            <w:r w:rsidR="00FE36DD">
              <w:rPr>
                <w:rStyle w:val="SubtleEmphasis1"/>
                <w:bCs/>
                <w:i w:val="0"/>
                <w:iCs/>
                <w:sz w:val="24"/>
              </w:rPr>
              <w:t>inn</w:t>
            </w:r>
            <w:r w:rsidRPr="00074652">
              <w:rPr>
                <w:rStyle w:val="SubtleEmphasis1"/>
                <w:bCs/>
                <w:i w:val="0"/>
                <w:iCs/>
                <w:sz w:val="24"/>
              </w:rPr>
              <w:t xml:space="preserve"> County</w:t>
            </w:r>
          </w:p>
        </w:tc>
        <w:tc>
          <w:tcPr>
            <w:tcW w:w="580" w:type="pct"/>
            <w:noWrap/>
          </w:tcPr>
          <w:p w:rsidR="00BF5653" w:rsidRPr="00074652" w:rsidRDefault="008F657E" w:rsidP="00BF5653">
            <w:pPr>
              <w:spacing w:after="0" w:line="240" w:lineRule="auto"/>
              <w:jc w:val="center"/>
              <w:rPr>
                <w:rStyle w:val="SubtleEmphasis1"/>
                <w:b/>
                <w:bCs/>
                <w:i w:val="0"/>
                <w:iCs/>
                <w:sz w:val="24"/>
              </w:rPr>
            </w:pPr>
            <w:r>
              <w:rPr>
                <w:rStyle w:val="SubtleEmphasis1"/>
                <w:bCs/>
                <w:i w:val="0"/>
                <w:iCs/>
                <w:sz w:val="24"/>
              </w:rPr>
              <w:t>Missouri</w:t>
            </w:r>
          </w:p>
        </w:tc>
        <w:tc>
          <w:tcPr>
            <w:tcW w:w="1213" w:type="pct"/>
          </w:tcPr>
          <w:p w:rsidR="00BF5653" w:rsidRPr="00074652" w:rsidRDefault="00114006" w:rsidP="00BF5653">
            <w:pPr>
              <w:spacing w:after="0" w:line="240" w:lineRule="auto"/>
              <w:jc w:val="center"/>
              <w:rPr>
                <w:rStyle w:val="SubtleEmphasis1"/>
                <w:b/>
                <w:bCs/>
                <w:i w:val="0"/>
                <w:iCs/>
                <w:sz w:val="24"/>
              </w:rPr>
            </w:pPr>
            <w:r>
              <w:rPr>
                <w:rStyle w:val="SubtleEmphasis1"/>
                <w:bCs/>
                <w:i w:val="0"/>
                <w:iCs/>
                <w:sz w:val="24"/>
              </w:rPr>
              <w:t>National Benchmark</w:t>
            </w:r>
          </w:p>
        </w:tc>
      </w:tr>
      <w:tr w:rsidR="00BF5653" w:rsidRPr="00074652" w:rsidTr="00FE36DD">
        <w:trPr>
          <w:trHeight w:val="315"/>
        </w:trPr>
        <w:tc>
          <w:tcPr>
            <w:tcW w:w="1848" w:type="pct"/>
            <w:shd w:val="clear" w:color="auto" w:fill="D7DCEC"/>
            <w:noWrap/>
          </w:tcPr>
          <w:p w:rsidR="00BF5653" w:rsidRPr="00074652" w:rsidRDefault="00BF5653" w:rsidP="00BF5653">
            <w:pPr>
              <w:spacing w:after="0" w:line="240" w:lineRule="auto"/>
              <w:rPr>
                <w:rFonts w:ascii="Calibri" w:hAnsi="Calibri" w:cs="Calibri"/>
                <w:b/>
                <w:bCs/>
              </w:rPr>
            </w:pPr>
            <w:r w:rsidRPr="00074652">
              <w:rPr>
                <w:rFonts w:ascii="Calibri" w:hAnsi="Calibri" w:cs="Calibri"/>
                <w:b/>
                <w:bCs/>
              </w:rPr>
              <w:t> </w:t>
            </w:r>
          </w:p>
        </w:tc>
        <w:tc>
          <w:tcPr>
            <w:tcW w:w="679" w:type="pct"/>
            <w:shd w:val="clear" w:color="auto" w:fill="D7DCEC"/>
            <w:noWrap/>
          </w:tcPr>
          <w:p w:rsidR="00BF5653" w:rsidRPr="00074652" w:rsidRDefault="008F657E" w:rsidP="00BF5653">
            <w:pPr>
              <w:spacing w:after="0" w:line="240" w:lineRule="auto"/>
              <w:jc w:val="center"/>
              <w:rPr>
                <w:rFonts w:cs="Calibri"/>
                <w:b/>
                <w:bCs/>
                <w:sz w:val="24"/>
              </w:rPr>
            </w:pPr>
            <w:r>
              <w:rPr>
                <w:rFonts w:cs="Calibri"/>
                <w:b/>
                <w:bCs/>
                <w:sz w:val="24"/>
              </w:rPr>
              <w:t>2011</w:t>
            </w:r>
          </w:p>
        </w:tc>
        <w:tc>
          <w:tcPr>
            <w:tcW w:w="680" w:type="pct"/>
            <w:shd w:val="clear" w:color="auto" w:fill="D7DCEC"/>
            <w:noWrap/>
          </w:tcPr>
          <w:p w:rsidR="00BF5653" w:rsidRPr="00074652" w:rsidRDefault="008F657E" w:rsidP="00BF5653">
            <w:pPr>
              <w:spacing w:after="0" w:line="240" w:lineRule="auto"/>
              <w:jc w:val="center"/>
              <w:rPr>
                <w:rFonts w:cs="Calibri"/>
                <w:b/>
                <w:bCs/>
                <w:sz w:val="24"/>
              </w:rPr>
            </w:pPr>
            <w:r>
              <w:rPr>
                <w:rFonts w:cs="Calibri"/>
                <w:b/>
                <w:bCs/>
                <w:sz w:val="24"/>
              </w:rPr>
              <w:t>2012</w:t>
            </w:r>
          </w:p>
        </w:tc>
        <w:tc>
          <w:tcPr>
            <w:tcW w:w="580" w:type="pct"/>
            <w:shd w:val="clear" w:color="auto" w:fill="D7DCEC"/>
            <w:noWrap/>
          </w:tcPr>
          <w:p w:rsidR="00BF5653" w:rsidRPr="005D1073" w:rsidRDefault="005D1073" w:rsidP="00BF5653">
            <w:pPr>
              <w:spacing w:after="0" w:line="240" w:lineRule="auto"/>
              <w:jc w:val="center"/>
              <w:rPr>
                <w:rFonts w:cs="Calibri"/>
                <w:b/>
                <w:bCs/>
                <w:sz w:val="24"/>
                <w:szCs w:val="24"/>
              </w:rPr>
            </w:pPr>
            <w:r w:rsidRPr="005D1073">
              <w:rPr>
                <w:rFonts w:cs="Calibri"/>
                <w:b/>
                <w:bCs/>
                <w:sz w:val="24"/>
                <w:szCs w:val="24"/>
              </w:rPr>
              <w:t>2012</w:t>
            </w:r>
          </w:p>
        </w:tc>
        <w:tc>
          <w:tcPr>
            <w:tcW w:w="1213" w:type="pct"/>
            <w:shd w:val="clear" w:color="auto" w:fill="D7DCEC"/>
          </w:tcPr>
          <w:p w:rsidR="00BF5653" w:rsidRPr="005D1073" w:rsidRDefault="005D1073" w:rsidP="00BF5653">
            <w:pPr>
              <w:spacing w:after="0" w:line="240" w:lineRule="auto"/>
              <w:jc w:val="center"/>
              <w:rPr>
                <w:rFonts w:cs="Calibri"/>
                <w:b/>
                <w:bCs/>
                <w:sz w:val="24"/>
                <w:szCs w:val="24"/>
              </w:rPr>
            </w:pPr>
            <w:r w:rsidRPr="005D1073">
              <w:rPr>
                <w:rFonts w:cs="Calibri"/>
                <w:b/>
                <w:bCs/>
                <w:sz w:val="24"/>
                <w:szCs w:val="24"/>
              </w:rPr>
              <w:t>2012</w:t>
            </w:r>
          </w:p>
        </w:tc>
      </w:tr>
      <w:tr w:rsidR="00FE36DD" w:rsidRPr="00074652" w:rsidTr="00FE36DD">
        <w:trPr>
          <w:trHeight w:val="300"/>
        </w:trPr>
        <w:tc>
          <w:tcPr>
            <w:tcW w:w="1848" w:type="pct"/>
            <w:noWrap/>
          </w:tcPr>
          <w:p w:rsidR="00FE36DD" w:rsidRPr="00074652" w:rsidRDefault="00FE36DD" w:rsidP="00BF5653">
            <w:pPr>
              <w:spacing w:after="0" w:line="240" w:lineRule="auto"/>
              <w:rPr>
                <w:rFonts w:cs="Calibri"/>
                <w:b/>
                <w:bCs/>
              </w:rPr>
            </w:pPr>
            <w:r w:rsidRPr="00074652">
              <w:rPr>
                <w:rFonts w:cs="Calibri"/>
                <w:b/>
                <w:bCs/>
              </w:rPr>
              <w:t>Uninsured adults</w:t>
            </w:r>
            <w:r w:rsidRPr="00074652">
              <w:rPr>
                <w:rStyle w:val="FootnoteReference"/>
                <w:rFonts w:cs="Calibri"/>
                <w:b/>
                <w:bCs/>
              </w:rPr>
              <w:footnoteReference w:id="6"/>
            </w:r>
          </w:p>
        </w:tc>
        <w:tc>
          <w:tcPr>
            <w:tcW w:w="679" w:type="pct"/>
            <w:noWrap/>
          </w:tcPr>
          <w:p w:rsidR="00FE36DD" w:rsidRPr="00074652" w:rsidRDefault="00FE36DD" w:rsidP="00FE36DD">
            <w:pPr>
              <w:spacing w:after="0" w:line="240" w:lineRule="auto"/>
              <w:jc w:val="center"/>
              <w:rPr>
                <w:rFonts w:cs="Calibri"/>
              </w:rPr>
            </w:pPr>
            <w:r>
              <w:rPr>
                <w:rFonts w:cs="Calibri"/>
              </w:rPr>
              <w:t>18</w:t>
            </w:r>
            <w:r w:rsidRPr="00074652">
              <w:rPr>
                <w:rFonts w:cs="Calibri"/>
              </w:rPr>
              <w:t>%</w:t>
            </w:r>
          </w:p>
        </w:tc>
        <w:tc>
          <w:tcPr>
            <w:tcW w:w="680" w:type="pct"/>
            <w:noWrap/>
          </w:tcPr>
          <w:p w:rsidR="00FE36DD" w:rsidRPr="00074652" w:rsidRDefault="00FE36DD" w:rsidP="00FE36DD">
            <w:pPr>
              <w:spacing w:after="0" w:line="240" w:lineRule="auto"/>
              <w:jc w:val="center"/>
              <w:rPr>
                <w:rFonts w:cs="Calibri"/>
              </w:rPr>
            </w:pPr>
            <w:r>
              <w:rPr>
                <w:rFonts w:cs="Calibri"/>
              </w:rPr>
              <w:t>15</w:t>
            </w:r>
            <w:r w:rsidRPr="00074652">
              <w:rPr>
                <w:rFonts w:cs="Calibri"/>
              </w:rPr>
              <w:t>%</w:t>
            </w:r>
          </w:p>
        </w:tc>
        <w:tc>
          <w:tcPr>
            <w:tcW w:w="580" w:type="pct"/>
            <w:noWrap/>
          </w:tcPr>
          <w:p w:rsidR="00FE36DD" w:rsidRPr="00074652" w:rsidRDefault="00FE36DD" w:rsidP="008F657E">
            <w:pPr>
              <w:spacing w:after="0" w:line="240" w:lineRule="auto"/>
              <w:jc w:val="center"/>
              <w:rPr>
                <w:rFonts w:cs="Calibri"/>
              </w:rPr>
            </w:pPr>
            <w:r>
              <w:rPr>
                <w:rFonts w:cs="Calibri"/>
              </w:rPr>
              <w:t>15</w:t>
            </w:r>
            <w:r w:rsidRPr="00074652">
              <w:rPr>
                <w:rFonts w:cs="Calibri"/>
              </w:rPr>
              <w:t>%</w:t>
            </w:r>
          </w:p>
        </w:tc>
        <w:tc>
          <w:tcPr>
            <w:tcW w:w="1213" w:type="pct"/>
            <w:noWrap/>
          </w:tcPr>
          <w:p w:rsidR="00FE36DD" w:rsidRPr="00074652" w:rsidRDefault="00FE36DD" w:rsidP="008F657E">
            <w:pPr>
              <w:spacing w:after="0" w:line="240" w:lineRule="auto"/>
              <w:jc w:val="center"/>
              <w:rPr>
                <w:rFonts w:cs="Calibri"/>
              </w:rPr>
            </w:pPr>
            <w:r>
              <w:rPr>
                <w:rFonts w:cs="Calibri"/>
              </w:rPr>
              <w:t>11</w:t>
            </w:r>
            <w:r w:rsidRPr="00074652">
              <w:rPr>
                <w:rFonts w:cs="Calibri"/>
              </w:rPr>
              <w:t>%</w:t>
            </w:r>
          </w:p>
        </w:tc>
      </w:tr>
      <w:tr w:rsidR="00FE36DD" w:rsidRPr="00074652" w:rsidTr="00FE36DD">
        <w:trPr>
          <w:trHeight w:val="300"/>
        </w:trPr>
        <w:tc>
          <w:tcPr>
            <w:tcW w:w="1848" w:type="pct"/>
            <w:shd w:val="clear" w:color="auto" w:fill="D7DCEC"/>
            <w:noWrap/>
          </w:tcPr>
          <w:p w:rsidR="00FE36DD" w:rsidRPr="00074652" w:rsidRDefault="00FE36DD" w:rsidP="00BF5653">
            <w:pPr>
              <w:spacing w:after="0" w:line="240" w:lineRule="auto"/>
              <w:rPr>
                <w:rFonts w:cs="Calibri"/>
                <w:b/>
                <w:bCs/>
              </w:rPr>
            </w:pPr>
            <w:r w:rsidRPr="00074652">
              <w:rPr>
                <w:rFonts w:cs="Calibri"/>
                <w:b/>
                <w:bCs/>
              </w:rPr>
              <w:t>Primary care providers</w:t>
            </w:r>
            <w:r w:rsidRPr="00074652">
              <w:rPr>
                <w:rStyle w:val="FootnoteReference"/>
                <w:rFonts w:cs="Calibri"/>
                <w:b/>
                <w:bCs/>
              </w:rPr>
              <w:footnoteReference w:id="7"/>
            </w:r>
          </w:p>
        </w:tc>
        <w:tc>
          <w:tcPr>
            <w:tcW w:w="679" w:type="pct"/>
            <w:shd w:val="clear" w:color="auto" w:fill="D7DCEC"/>
            <w:noWrap/>
          </w:tcPr>
          <w:p w:rsidR="00FE36DD" w:rsidRPr="00074652" w:rsidRDefault="00FE36DD" w:rsidP="00FE36DD">
            <w:pPr>
              <w:spacing w:after="0" w:line="240" w:lineRule="auto"/>
              <w:jc w:val="center"/>
              <w:rPr>
                <w:rFonts w:cs="Calibri"/>
              </w:rPr>
            </w:pPr>
            <w:r>
              <w:rPr>
                <w:rFonts w:cs="Calibri"/>
              </w:rPr>
              <w:t>2531</w:t>
            </w:r>
            <w:r w:rsidRPr="00074652">
              <w:rPr>
                <w:rFonts w:cs="Calibri"/>
              </w:rPr>
              <w:t>:1</w:t>
            </w:r>
          </w:p>
        </w:tc>
        <w:tc>
          <w:tcPr>
            <w:tcW w:w="680" w:type="pct"/>
            <w:shd w:val="clear" w:color="auto" w:fill="D7DCEC"/>
            <w:noWrap/>
          </w:tcPr>
          <w:p w:rsidR="00FE36DD" w:rsidRPr="00074652" w:rsidRDefault="00FE36DD" w:rsidP="00FE36DD">
            <w:pPr>
              <w:spacing w:after="0" w:line="240" w:lineRule="auto"/>
              <w:jc w:val="center"/>
              <w:rPr>
                <w:rFonts w:cs="Calibri"/>
              </w:rPr>
            </w:pPr>
            <w:r>
              <w:rPr>
                <w:rFonts w:cs="Calibri"/>
              </w:rPr>
              <w:t>3531</w:t>
            </w:r>
            <w:r w:rsidRPr="00074652">
              <w:rPr>
                <w:rFonts w:cs="Calibri"/>
              </w:rPr>
              <w:t>:1</w:t>
            </w:r>
          </w:p>
        </w:tc>
        <w:tc>
          <w:tcPr>
            <w:tcW w:w="580" w:type="pct"/>
            <w:shd w:val="clear" w:color="auto" w:fill="D7DCEC"/>
            <w:noWrap/>
          </w:tcPr>
          <w:p w:rsidR="00FE36DD" w:rsidRPr="00074652" w:rsidRDefault="00FE36DD" w:rsidP="008F657E">
            <w:pPr>
              <w:spacing w:after="0" w:line="240" w:lineRule="auto"/>
              <w:jc w:val="center"/>
              <w:rPr>
                <w:rFonts w:cs="Calibri"/>
              </w:rPr>
            </w:pPr>
            <w:r>
              <w:rPr>
                <w:rFonts w:cs="Calibri"/>
              </w:rPr>
              <w:t>1015</w:t>
            </w:r>
            <w:r w:rsidRPr="00074652">
              <w:rPr>
                <w:rFonts w:cs="Calibri"/>
              </w:rPr>
              <w:t>:1</w:t>
            </w:r>
          </w:p>
        </w:tc>
        <w:tc>
          <w:tcPr>
            <w:tcW w:w="1213" w:type="pct"/>
            <w:shd w:val="clear" w:color="auto" w:fill="D7DCEC"/>
            <w:noWrap/>
          </w:tcPr>
          <w:p w:rsidR="00FE36DD" w:rsidRPr="00074652" w:rsidRDefault="00FE36DD" w:rsidP="008F657E">
            <w:pPr>
              <w:spacing w:after="0" w:line="240" w:lineRule="auto"/>
              <w:jc w:val="center"/>
              <w:rPr>
                <w:rFonts w:cs="Calibri"/>
              </w:rPr>
            </w:pPr>
            <w:r w:rsidRPr="00074652">
              <w:rPr>
                <w:rFonts w:cs="Calibri"/>
              </w:rPr>
              <w:t>631:1</w:t>
            </w:r>
          </w:p>
        </w:tc>
      </w:tr>
      <w:tr w:rsidR="00FE36DD" w:rsidRPr="00074652" w:rsidTr="00FE36DD">
        <w:trPr>
          <w:trHeight w:val="300"/>
        </w:trPr>
        <w:tc>
          <w:tcPr>
            <w:tcW w:w="1848" w:type="pct"/>
            <w:noWrap/>
          </w:tcPr>
          <w:p w:rsidR="00FE36DD" w:rsidRPr="00074652" w:rsidRDefault="00FE36DD" w:rsidP="00BF5653">
            <w:pPr>
              <w:spacing w:after="0" w:line="240" w:lineRule="auto"/>
              <w:rPr>
                <w:rFonts w:cs="Calibri"/>
                <w:b/>
                <w:bCs/>
              </w:rPr>
            </w:pPr>
            <w:r w:rsidRPr="00074652">
              <w:rPr>
                <w:rFonts w:cs="Calibri"/>
                <w:b/>
                <w:bCs/>
              </w:rPr>
              <w:t>Preventable hospital stays</w:t>
            </w:r>
            <w:r w:rsidRPr="00074652">
              <w:rPr>
                <w:rStyle w:val="FootnoteReference"/>
                <w:rFonts w:cs="Calibri"/>
                <w:b/>
                <w:bCs/>
              </w:rPr>
              <w:footnoteReference w:id="8"/>
            </w:r>
          </w:p>
        </w:tc>
        <w:tc>
          <w:tcPr>
            <w:tcW w:w="679" w:type="pct"/>
            <w:noWrap/>
          </w:tcPr>
          <w:p w:rsidR="00FE36DD" w:rsidRPr="00074652" w:rsidRDefault="00FE36DD" w:rsidP="00FE36DD">
            <w:pPr>
              <w:spacing w:after="0" w:line="240" w:lineRule="auto"/>
              <w:jc w:val="center"/>
              <w:rPr>
                <w:rFonts w:cs="Calibri"/>
              </w:rPr>
            </w:pPr>
            <w:r>
              <w:rPr>
                <w:rFonts w:cs="Calibri"/>
              </w:rPr>
              <w:t>105</w:t>
            </w:r>
          </w:p>
        </w:tc>
        <w:tc>
          <w:tcPr>
            <w:tcW w:w="680" w:type="pct"/>
            <w:noWrap/>
          </w:tcPr>
          <w:p w:rsidR="00FE36DD" w:rsidRPr="00074652" w:rsidRDefault="00FE36DD" w:rsidP="00FE36DD">
            <w:pPr>
              <w:spacing w:after="0" w:line="240" w:lineRule="auto"/>
              <w:jc w:val="center"/>
              <w:rPr>
                <w:rFonts w:cs="Calibri"/>
              </w:rPr>
            </w:pPr>
            <w:r>
              <w:rPr>
                <w:rFonts w:cs="Calibri"/>
              </w:rPr>
              <w:t>108</w:t>
            </w:r>
          </w:p>
        </w:tc>
        <w:tc>
          <w:tcPr>
            <w:tcW w:w="580" w:type="pct"/>
            <w:noWrap/>
          </w:tcPr>
          <w:p w:rsidR="00FE36DD" w:rsidRPr="00074652" w:rsidRDefault="00FE36DD" w:rsidP="008F657E">
            <w:pPr>
              <w:spacing w:after="0" w:line="240" w:lineRule="auto"/>
              <w:jc w:val="center"/>
              <w:rPr>
                <w:rFonts w:cs="Calibri"/>
              </w:rPr>
            </w:pPr>
            <w:r>
              <w:rPr>
                <w:rFonts w:cs="Calibri"/>
              </w:rPr>
              <w:t>75</w:t>
            </w:r>
          </w:p>
        </w:tc>
        <w:tc>
          <w:tcPr>
            <w:tcW w:w="1213" w:type="pct"/>
            <w:noWrap/>
          </w:tcPr>
          <w:p w:rsidR="00FE36DD" w:rsidRPr="00074652" w:rsidRDefault="00FE36DD" w:rsidP="008F657E">
            <w:pPr>
              <w:spacing w:after="0" w:line="240" w:lineRule="auto"/>
              <w:jc w:val="center"/>
              <w:rPr>
                <w:rFonts w:cs="Calibri"/>
              </w:rPr>
            </w:pPr>
            <w:r>
              <w:rPr>
                <w:rFonts w:cs="Calibri"/>
              </w:rPr>
              <w:t>49</w:t>
            </w:r>
          </w:p>
        </w:tc>
      </w:tr>
      <w:tr w:rsidR="00FE36DD" w:rsidRPr="00074652" w:rsidTr="00FE36DD">
        <w:trPr>
          <w:trHeight w:val="300"/>
        </w:trPr>
        <w:tc>
          <w:tcPr>
            <w:tcW w:w="1848" w:type="pct"/>
            <w:shd w:val="clear" w:color="auto" w:fill="D7DCEC"/>
            <w:noWrap/>
          </w:tcPr>
          <w:p w:rsidR="00FE36DD" w:rsidRPr="00074652" w:rsidRDefault="00FE36DD" w:rsidP="00BF5653">
            <w:pPr>
              <w:spacing w:after="0" w:line="240" w:lineRule="auto"/>
              <w:rPr>
                <w:rFonts w:cs="Calibri"/>
                <w:b/>
                <w:bCs/>
              </w:rPr>
            </w:pPr>
            <w:r w:rsidRPr="00074652">
              <w:rPr>
                <w:rFonts w:cs="Calibri"/>
                <w:b/>
                <w:bCs/>
              </w:rPr>
              <w:t>Diabetic screening</w:t>
            </w:r>
            <w:r w:rsidRPr="00074652">
              <w:rPr>
                <w:rStyle w:val="FootnoteReference"/>
                <w:rFonts w:cs="Calibri"/>
                <w:b/>
                <w:bCs/>
              </w:rPr>
              <w:footnoteReference w:id="9"/>
            </w:r>
          </w:p>
        </w:tc>
        <w:tc>
          <w:tcPr>
            <w:tcW w:w="679" w:type="pct"/>
            <w:shd w:val="clear" w:color="auto" w:fill="D7DCEC"/>
            <w:noWrap/>
          </w:tcPr>
          <w:p w:rsidR="00FE36DD" w:rsidRPr="00074652" w:rsidRDefault="00FE36DD" w:rsidP="00FE36DD">
            <w:pPr>
              <w:spacing w:after="0" w:line="240" w:lineRule="auto"/>
              <w:jc w:val="center"/>
              <w:rPr>
                <w:rFonts w:cs="Calibri"/>
              </w:rPr>
            </w:pPr>
            <w:r>
              <w:rPr>
                <w:rFonts w:cs="Calibri"/>
              </w:rPr>
              <w:t>71</w:t>
            </w:r>
            <w:r w:rsidRPr="00074652">
              <w:rPr>
                <w:rFonts w:cs="Calibri"/>
              </w:rPr>
              <w:t>%</w:t>
            </w:r>
          </w:p>
        </w:tc>
        <w:tc>
          <w:tcPr>
            <w:tcW w:w="680" w:type="pct"/>
            <w:shd w:val="clear" w:color="auto" w:fill="D7DCEC"/>
            <w:noWrap/>
          </w:tcPr>
          <w:p w:rsidR="00FE36DD" w:rsidRPr="00074652" w:rsidRDefault="00FE36DD" w:rsidP="00FE36DD">
            <w:pPr>
              <w:spacing w:after="0" w:line="240" w:lineRule="auto"/>
              <w:jc w:val="center"/>
              <w:rPr>
                <w:rFonts w:cs="Calibri"/>
              </w:rPr>
            </w:pPr>
            <w:r>
              <w:rPr>
                <w:rFonts w:cs="Calibri"/>
              </w:rPr>
              <w:t>80</w:t>
            </w:r>
            <w:r w:rsidRPr="00074652">
              <w:rPr>
                <w:rFonts w:cs="Calibri"/>
              </w:rPr>
              <w:t>%</w:t>
            </w:r>
          </w:p>
        </w:tc>
        <w:tc>
          <w:tcPr>
            <w:tcW w:w="580" w:type="pct"/>
            <w:shd w:val="clear" w:color="auto" w:fill="D7DCEC"/>
            <w:noWrap/>
          </w:tcPr>
          <w:p w:rsidR="00FE36DD" w:rsidRPr="00074652" w:rsidRDefault="00FE36DD" w:rsidP="008F657E">
            <w:pPr>
              <w:spacing w:after="0" w:line="240" w:lineRule="auto"/>
              <w:jc w:val="center"/>
              <w:rPr>
                <w:rFonts w:cs="Calibri"/>
              </w:rPr>
            </w:pPr>
            <w:r w:rsidRPr="00074652">
              <w:rPr>
                <w:rFonts w:cs="Calibri"/>
              </w:rPr>
              <w:t>84%</w:t>
            </w:r>
          </w:p>
        </w:tc>
        <w:tc>
          <w:tcPr>
            <w:tcW w:w="1213" w:type="pct"/>
            <w:shd w:val="clear" w:color="auto" w:fill="D7DCEC"/>
            <w:noWrap/>
          </w:tcPr>
          <w:p w:rsidR="00FE36DD" w:rsidRPr="00074652" w:rsidRDefault="00FE36DD" w:rsidP="008F657E">
            <w:pPr>
              <w:spacing w:after="0" w:line="240" w:lineRule="auto"/>
              <w:jc w:val="center"/>
              <w:rPr>
                <w:rFonts w:cs="Calibri"/>
              </w:rPr>
            </w:pPr>
            <w:r w:rsidRPr="00074652">
              <w:rPr>
                <w:rFonts w:cs="Calibri"/>
              </w:rPr>
              <w:t>89%</w:t>
            </w:r>
          </w:p>
        </w:tc>
      </w:tr>
      <w:tr w:rsidR="00FE36DD" w:rsidRPr="00074652" w:rsidTr="00FE36DD">
        <w:trPr>
          <w:trHeight w:val="300"/>
        </w:trPr>
        <w:tc>
          <w:tcPr>
            <w:tcW w:w="1848" w:type="pct"/>
            <w:noWrap/>
          </w:tcPr>
          <w:p w:rsidR="00FE36DD" w:rsidRPr="00074652" w:rsidRDefault="00FE36DD" w:rsidP="00BF5653">
            <w:pPr>
              <w:spacing w:after="0" w:line="240" w:lineRule="auto"/>
              <w:rPr>
                <w:rFonts w:cs="Calibri"/>
                <w:b/>
                <w:bCs/>
              </w:rPr>
            </w:pPr>
            <w:r w:rsidRPr="00074652">
              <w:rPr>
                <w:rFonts w:cs="Calibri"/>
                <w:b/>
                <w:bCs/>
              </w:rPr>
              <w:t>Mammography screening</w:t>
            </w:r>
            <w:r w:rsidRPr="00074652">
              <w:rPr>
                <w:rStyle w:val="FootnoteReference"/>
                <w:rFonts w:cs="Calibri"/>
                <w:b/>
                <w:bCs/>
              </w:rPr>
              <w:footnoteReference w:id="10"/>
            </w:r>
          </w:p>
        </w:tc>
        <w:tc>
          <w:tcPr>
            <w:tcW w:w="679" w:type="pct"/>
            <w:noWrap/>
          </w:tcPr>
          <w:p w:rsidR="00FE36DD" w:rsidRPr="00074652" w:rsidRDefault="00FE36DD" w:rsidP="00FE36DD">
            <w:pPr>
              <w:spacing w:after="0" w:line="240" w:lineRule="auto"/>
              <w:jc w:val="center"/>
              <w:rPr>
                <w:rFonts w:cs="Calibri"/>
              </w:rPr>
            </w:pPr>
            <w:r>
              <w:rPr>
                <w:rFonts w:cs="Calibri"/>
              </w:rPr>
              <w:t>50%</w:t>
            </w:r>
          </w:p>
        </w:tc>
        <w:tc>
          <w:tcPr>
            <w:tcW w:w="680" w:type="pct"/>
            <w:noWrap/>
          </w:tcPr>
          <w:p w:rsidR="00FE36DD" w:rsidRPr="00074652" w:rsidRDefault="00FE36DD" w:rsidP="00FE36DD">
            <w:pPr>
              <w:spacing w:after="0" w:line="240" w:lineRule="auto"/>
              <w:jc w:val="center"/>
              <w:rPr>
                <w:rFonts w:cs="Calibri"/>
              </w:rPr>
            </w:pPr>
            <w:r>
              <w:rPr>
                <w:rFonts w:cs="Calibri"/>
              </w:rPr>
              <w:t>49</w:t>
            </w:r>
            <w:r w:rsidRPr="00074652">
              <w:rPr>
                <w:rFonts w:cs="Calibri"/>
              </w:rPr>
              <w:t>%</w:t>
            </w:r>
          </w:p>
        </w:tc>
        <w:tc>
          <w:tcPr>
            <w:tcW w:w="580" w:type="pct"/>
            <w:noWrap/>
          </w:tcPr>
          <w:p w:rsidR="00FE36DD" w:rsidRPr="00074652" w:rsidRDefault="00FE36DD" w:rsidP="008F657E">
            <w:pPr>
              <w:spacing w:after="0" w:line="240" w:lineRule="auto"/>
              <w:jc w:val="center"/>
              <w:rPr>
                <w:rFonts w:cs="Calibri"/>
              </w:rPr>
            </w:pPr>
            <w:r>
              <w:rPr>
                <w:rFonts w:cs="Calibri"/>
              </w:rPr>
              <w:t>65</w:t>
            </w:r>
            <w:r w:rsidRPr="00074652">
              <w:rPr>
                <w:rFonts w:cs="Calibri"/>
              </w:rPr>
              <w:t>%</w:t>
            </w:r>
          </w:p>
        </w:tc>
        <w:tc>
          <w:tcPr>
            <w:tcW w:w="1213" w:type="pct"/>
            <w:noWrap/>
          </w:tcPr>
          <w:p w:rsidR="00FE36DD" w:rsidRPr="00074652" w:rsidRDefault="00FE36DD" w:rsidP="008F657E">
            <w:pPr>
              <w:spacing w:after="0" w:line="240" w:lineRule="auto"/>
              <w:jc w:val="center"/>
              <w:rPr>
                <w:rFonts w:cs="Calibri"/>
              </w:rPr>
            </w:pPr>
            <w:r w:rsidRPr="00074652">
              <w:rPr>
                <w:rFonts w:cs="Calibri"/>
              </w:rPr>
              <w:t>74%</w:t>
            </w:r>
          </w:p>
        </w:tc>
      </w:tr>
    </w:tbl>
    <w:p w:rsidR="00BF5653" w:rsidRPr="00074652" w:rsidRDefault="00BF5653" w:rsidP="00BF5653">
      <w:pPr>
        <w:pStyle w:val="Heading5"/>
        <w:rPr>
          <w:rStyle w:val="SubtleReference1"/>
          <w:rFonts w:ascii="Cambria" w:hAnsi="Cambria"/>
          <w:b/>
          <w:i w:val="0"/>
          <w:iCs/>
          <w:color w:val="auto"/>
        </w:rPr>
      </w:pPr>
      <w:r w:rsidRPr="00074652">
        <w:rPr>
          <w:rStyle w:val="SubtleReference1"/>
          <w:rFonts w:ascii="Cambria" w:hAnsi="Cambria"/>
          <w:i w:val="0"/>
          <w:color w:val="auto"/>
        </w:rPr>
        <w:t>Discussion</w:t>
      </w:r>
    </w:p>
    <w:p w:rsidR="00FE36DD" w:rsidRPr="0089408B" w:rsidRDefault="00FE36DD" w:rsidP="00FE36DD">
      <w:pPr>
        <w:rPr>
          <w:vertAlign w:val="superscript"/>
        </w:rPr>
      </w:pPr>
      <w:r w:rsidRPr="0089408B">
        <w:t>The amount of uninsured adults in Linn County is equal in comparison to Missouri and higher than the National Benchmark. This indicates that the access to appropriate care can be an issue for the county’s residents.  One surprise in Figure 2.5 is the low number of primary care providers</w:t>
      </w:r>
      <w:r w:rsidR="00596B54" w:rsidRPr="0089408B">
        <w:t>,</w:t>
      </w:r>
      <w:r w:rsidRPr="0089408B">
        <w:t xml:space="preserve"> however the county is designated as a shortage area according to the Health Resources and Services Administration.</w:t>
      </w:r>
      <w:r w:rsidRPr="0089408B">
        <w:rPr>
          <w:rStyle w:val="FootnoteReference"/>
        </w:rPr>
        <w:footnoteReference w:id="11"/>
      </w:r>
      <w:r w:rsidRPr="0089408B">
        <w:t xml:space="preserve">  When it comes to accessing care, having providers available to give care is just as important as having the financial resources to seek out the care. Providers must be available to deliver preventive care to the community, and if necessary, provide referrals to specialists.</w:t>
      </w:r>
      <w:r w:rsidRPr="0089408B">
        <w:rPr>
          <w:vertAlign w:val="superscript"/>
        </w:rPr>
        <w:t xml:space="preserve">6,7  </w:t>
      </w:r>
    </w:p>
    <w:p w:rsidR="00FE36DD" w:rsidRPr="0089408B" w:rsidRDefault="00FE36DD" w:rsidP="00FE36DD">
      <w:pPr>
        <w:rPr>
          <w:vertAlign w:val="superscript"/>
        </w:rPr>
      </w:pPr>
      <w:r w:rsidRPr="0089408B">
        <w:t>A higher number of preventable hospital stays indicates that the outpatient care may not be sufficient for the community.  In addition, this indicates there may be an overuse of the hospital as a primary source of care.</w:t>
      </w:r>
      <w:r w:rsidRPr="0089408B">
        <w:rPr>
          <w:vertAlign w:val="superscript"/>
        </w:rPr>
        <w:t xml:space="preserve">7 </w:t>
      </w:r>
      <w:r w:rsidRPr="0089408B">
        <w:t>Diabetic screening, an indicator listed above, is the standard in assessing the management of diabetes; it provides an estimate of how well a patient is managing their condition and delaying or preventing complications.</w:t>
      </w:r>
      <w:r w:rsidRPr="0089408B">
        <w:rPr>
          <w:vertAlign w:val="superscript"/>
        </w:rPr>
        <w:t xml:space="preserve">8  </w:t>
      </w:r>
      <w:r w:rsidRPr="0089408B">
        <w:t xml:space="preserve">  Evidence suggests appropriate mammography screening can reduce breast cancer mortality and is a widely endorsed quality of care measure.</w:t>
      </w:r>
      <w:r w:rsidRPr="0089408B">
        <w:rPr>
          <w:vertAlign w:val="superscript"/>
        </w:rPr>
        <w:t xml:space="preserve">9 </w:t>
      </w:r>
    </w:p>
    <w:p w:rsidR="00BF5653" w:rsidRPr="00074652" w:rsidRDefault="00BF5653" w:rsidP="00BF5653">
      <w:pPr>
        <w:pStyle w:val="Heading3"/>
        <w:rPr>
          <w:b/>
          <w:bCs/>
          <w:color w:val="auto"/>
        </w:rPr>
      </w:pPr>
      <w:r w:rsidRPr="00074652">
        <w:rPr>
          <w:color w:val="auto"/>
        </w:rPr>
        <w:br w:type="page"/>
      </w:r>
      <w:bookmarkStart w:id="76" w:name="_Toc292981208"/>
      <w:bookmarkStart w:id="77" w:name="_Toc318638277"/>
      <w:bookmarkStart w:id="78" w:name="_Toc229126465"/>
      <w:r w:rsidRPr="00074652">
        <w:rPr>
          <w:color w:val="auto"/>
        </w:rPr>
        <w:lastRenderedPageBreak/>
        <w:t>Health Behaviors – Figure 2.</w:t>
      </w:r>
      <w:bookmarkEnd w:id="76"/>
      <w:r>
        <w:rPr>
          <w:color w:val="auto"/>
        </w:rPr>
        <w:t>6</w:t>
      </w:r>
      <w:bookmarkEnd w:id="77"/>
      <w:bookmarkEnd w:id="78"/>
    </w:p>
    <w:tbl>
      <w:tblPr>
        <w:tblW w:w="5000" w:type="pct"/>
        <w:tblBorders>
          <w:top w:val="single" w:sz="18" w:space="0" w:color="6076B4"/>
          <w:left w:val="single" w:sz="18" w:space="0" w:color="6076B4"/>
          <w:bottom w:val="single" w:sz="18" w:space="0" w:color="6076B4"/>
          <w:right w:val="single" w:sz="18" w:space="0" w:color="6076B4"/>
          <w:insideH w:val="single" w:sz="18" w:space="0" w:color="6076B4"/>
          <w:insideV w:val="single" w:sz="18" w:space="0" w:color="6076B4"/>
        </w:tblBorders>
        <w:tblLook w:val="00A0" w:firstRow="1" w:lastRow="0" w:firstColumn="1" w:lastColumn="0" w:noHBand="0" w:noVBand="0"/>
      </w:tblPr>
      <w:tblGrid>
        <w:gridCol w:w="3559"/>
        <w:gridCol w:w="1283"/>
        <w:gridCol w:w="1285"/>
        <w:gridCol w:w="1111"/>
        <w:gridCol w:w="2338"/>
      </w:tblGrid>
      <w:tr w:rsidR="00BF5653" w:rsidRPr="00074652" w:rsidTr="003B3D1B">
        <w:trPr>
          <w:trHeight w:val="493"/>
        </w:trPr>
        <w:tc>
          <w:tcPr>
            <w:tcW w:w="1858" w:type="pct"/>
            <w:noWrap/>
          </w:tcPr>
          <w:p w:rsidR="00BF5653" w:rsidRPr="00074652" w:rsidRDefault="00BF5653" w:rsidP="00BF5653">
            <w:pPr>
              <w:spacing w:after="0" w:line="240" w:lineRule="auto"/>
              <w:rPr>
                <w:rStyle w:val="SubtleEmphasis1"/>
                <w:b/>
                <w:bCs/>
                <w:i w:val="0"/>
                <w:iCs/>
                <w:sz w:val="24"/>
              </w:rPr>
            </w:pPr>
          </w:p>
        </w:tc>
        <w:tc>
          <w:tcPr>
            <w:tcW w:w="1341" w:type="pct"/>
            <w:gridSpan w:val="2"/>
            <w:noWrap/>
          </w:tcPr>
          <w:p w:rsidR="00BF5653" w:rsidRPr="00074652" w:rsidRDefault="00BF5653" w:rsidP="002F1058">
            <w:pPr>
              <w:spacing w:after="0" w:line="240" w:lineRule="auto"/>
              <w:jc w:val="center"/>
              <w:rPr>
                <w:rStyle w:val="SubtleEmphasis1"/>
                <w:b/>
                <w:bCs/>
                <w:i w:val="0"/>
                <w:iCs/>
                <w:sz w:val="24"/>
              </w:rPr>
            </w:pPr>
            <w:r w:rsidRPr="00074652">
              <w:rPr>
                <w:rStyle w:val="SubtleEmphasis1"/>
                <w:bCs/>
                <w:i w:val="0"/>
                <w:iCs/>
                <w:sz w:val="24"/>
              </w:rPr>
              <w:t>L</w:t>
            </w:r>
            <w:r w:rsidR="00BD5793">
              <w:rPr>
                <w:rStyle w:val="SubtleEmphasis1"/>
                <w:bCs/>
                <w:i w:val="0"/>
                <w:iCs/>
                <w:sz w:val="24"/>
              </w:rPr>
              <w:t>inn</w:t>
            </w:r>
            <w:r w:rsidRPr="00074652">
              <w:rPr>
                <w:rStyle w:val="SubtleEmphasis1"/>
                <w:bCs/>
                <w:i w:val="0"/>
                <w:iCs/>
                <w:sz w:val="24"/>
              </w:rPr>
              <w:t xml:space="preserve"> County</w:t>
            </w:r>
          </w:p>
        </w:tc>
        <w:tc>
          <w:tcPr>
            <w:tcW w:w="580" w:type="pct"/>
            <w:noWrap/>
          </w:tcPr>
          <w:p w:rsidR="00BF5653" w:rsidRPr="00074652" w:rsidRDefault="002F1058" w:rsidP="00BF5653">
            <w:pPr>
              <w:spacing w:after="0" w:line="240" w:lineRule="auto"/>
              <w:jc w:val="center"/>
              <w:rPr>
                <w:rStyle w:val="SubtleEmphasis1"/>
                <w:b/>
                <w:bCs/>
                <w:i w:val="0"/>
                <w:iCs/>
                <w:sz w:val="24"/>
              </w:rPr>
            </w:pPr>
            <w:r>
              <w:rPr>
                <w:rStyle w:val="SubtleEmphasis1"/>
                <w:bCs/>
                <w:i w:val="0"/>
                <w:iCs/>
                <w:sz w:val="24"/>
              </w:rPr>
              <w:t>Missouri</w:t>
            </w:r>
          </w:p>
        </w:tc>
        <w:tc>
          <w:tcPr>
            <w:tcW w:w="1221" w:type="pct"/>
          </w:tcPr>
          <w:p w:rsidR="00BF5653" w:rsidRPr="00074652" w:rsidRDefault="00114006" w:rsidP="00BF5653">
            <w:pPr>
              <w:spacing w:after="0" w:line="240" w:lineRule="auto"/>
              <w:jc w:val="center"/>
              <w:rPr>
                <w:rStyle w:val="SubtleEmphasis1"/>
                <w:b/>
                <w:bCs/>
                <w:i w:val="0"/>
                <w:iCs/>
                <w:sz w:val="24"/>
              </w:rPr>
            </w:pPr>
            <w:r>
              <w:rPr>
                <w:rStyle w:val="SubtleEmphasis1"/>
                <w:bCs/>
                <w:i w:val="0"/>
                <w:iCs/>
                <w:sz w:val="24"/>
              </w:rPr>
              <w:t>National Benchmark</w:t>
            </w:r>
          </w:p>
        </w:tc>
      </w:tr>
      <w:tr w:rsidR="00BF5653" w:rsidRPr="00074652" w:rsidTr="003B3D1B">
        <w:trPr>
          <w:trHeight w:val="300"/>
        </w:trPr>
        <w:tc>
          <w:tcPr>
            <w:tcW w:w="1858" w:type="pct"/>
            <w:shd w:val="clear" w:color="auto" w:fill="D7DCEC"/>
            <w:noWrap/>
          </w:tcPr>
          <w:p w:rsidR="00BF5653" w:rsidRPr="00074652" w:rsidRDefault="00BF5653" w:rsidP="00BF5653">
            <w:pPr>
              <w:spacing w:after="0" w:line="240" w:lineRule="auto"/>
              <w:rPr>
                <w:rFonts w:cs="Calibri"/>
                <w:b/>
                <w:bCs/>
              </w:rPr>
            </w:pPr>
          </w:p>
        </w:tc>
        <w:tc>
          <w:tcPr>
            <w:tcW w:w="670" w:type="pct"/>
            <w:shd w:val="clear" w:color="auto" w:fill="D7DCEC"/>
            <w:noWrap/>
          </w:tcPr>
          <w:p w:rsidR="00BF5653" w:rsidRPr="00074652" w:rsidRDefault="002F1058" w:rsidP="00BF5653">
            <w:pPr>
              <w:spacing w:after="0" w:line="240" w:lineRule="auto"/>
              <w:jc w:val="center"/>
              <w:rPr>
                <w:rFonts w:cs="Calibri"/>
                <w:b/>
                <w:bCs/>
              </w:rPr>
            </w:pPr>
            <w:r>
              <w:rPr>
                <w:rFonts w:cs="Calibri"/>
                <w:b/>
                <w:bCs/>
              </w:rPr>
              <w:t>2011</w:t>
            </w:r>
          </w:p>
        </w:tc>
        <w:tc>
          <w:tcPr>
            <w:tcW w:w="671" w:type="pct"/>
            <w:shd w:val="clear" w:color="auto" w:fill="D7DCEC"/>
            <w:noWrap/>
          </w:tcPr>
          <w:p w:rsidR="00BF5653" w:rsidRPr="00074652" w:rsidRDefault="002F1058" w:rsidP="00BF5653">
            <w:pPr>
              <w:spacing w:after="0" w:line="240" w:lineRule="auto"/>
              <w:jc w:val="center"/>
              <w:rPr>
                <w:rFonts w:cs="Calibri"/>
                <w:b/>
                <w:bCs/>
              </w:rPr>
            </w:pPr>
            <w:r>
              <w:rPr>
                <w:rFonts w:cs="Calibri"/>
                <w:b/>
                <w:bCs/>
              </w:rPr>
              <w:t>2012</w:t>
            </w:r>
          </w:p>
        </w:tc>
        <w:tc>
          <w:tcPr>
            <w:tcW w:w="580" w:type="pct"/>
            <w:shd w:val="clear" w:color="auto" w:fill="D7DCEC"/>
            <w:noWrap/>
          </w:tcPr>
          <w:p w:rsidR="00BF5653" w:rsidRPr="00074652" w:rsidRDefault="005D1073" w:rsidP="00BF5653">
            <w:pPr>
              <w:spacing w:after="0" w:line="240" w:lineRule="auto"/>
              <w:jc w:val="center"/>
              <w:rPr>
                <w:rFonts w:cs="Calibri"/>
                <w:b/>
                <w:bCs/>
              </w:rPr>
            </w:pPr>
            <w:r>
              <w:rPr>
                <w:rFonts w:cs="Calibri"/>
                <w:b/>
                <w:bCs/>
              </w:rPr>
              <w:t>2012</w:t>
            </w:r>
          </w:p>
        </w:tc>
        <w:tc>
          <w:tcPr>
            <w:tcW w:w="1221" w:type="pct"/>
            <w:shd w:val="clear" w:color="auto" w:fill="D7DCEC"/>
          </w:tcPr>
          <w:p w:rsidR="00BF5653" w:rsidRPr="00074652" w:rsidRDefault="005D1073" w:rsidP="00BF5653">
            <w:pPr>
              <w:spacing w:after="0" w:line="240" w:lineRule="auto"/>
              <w:jc w:val="center"/>
              <w:rPr>
                <w:rFonts w:cs="Calibri"/>
                <w:b/>
                <w:bCs/>
              </w:rPr>
            </w:pPr>
            <w:r>
              <w:rPr>
                <w:rFonts w:cs="Calibri"/>
                <w:b/>
                <w:bCs/>
              </w:rPr>
              <w:t>2012</w:t>
            </w:r>
          </w:p>
        </w:tc>
      </w:tr>
      <w:tr w:rsidR="003B3D1B" w:rsidRPr="00074652" w:rsidTr="003B3D1B">
        <w:trPr>
          <w:trHeight w:val="300"/>
        </w:trPr>
        <w:tc>
          <w:tcPr>
            <w:tcW w:w="1858" w:type="pct"/>
            <w:noWrap/>
          </w:tcPr>
          <w:p w:rsidR="003B3D1B" w:rsidRPr="00074652" w:rsidRDefault="003B3D1B" w:rsidP="00BF5653">
            <w:pPr>
              <w:spacing w:after="0" w:line="240" w:lineRule="auto"/>
              <w:rPr>
                <w:rFonts w:cs="Calibri"/>
                <w:b/>
                <w:bCs/>
              </w:rPr>
            </w:pPr>
            <w:r w:rsidRPr="00074652">
              <w:rPr>
                <w:rFonts w:cs="Calibri"/>
                <w:b/>
                <w:bCs/>
              </w:rPr>
              <w:t xml:space="preserve">Adult Smoking </w:t>
            </w:r>
            <w:r w:rsidRPr="00074652">
              <w:rPr>
                <w:rStyle w:val="FootnoteReference"/>
                <w:rFonts w:cs="Calibri"/>
                <w:b/>
                <w:bCs/>
              </w:rPr>
              <w:footnoteReference w:id="12"/>
            </w:r>
          </w:p>
        </w:tc>
        <w:tc>
          <w:tcPr>
            <w:tcW w:w="670" w:type="pct"/>
            <w:noWrap/>
          </w:tcPr>
          <w:p w:rsidR="003B3D1B" w:rsidRPr="00074652" w:rsidRDefault="00E2534D" w:rsidP="00BF5653">
            <w:pPr>
              <w:spacing w:after="0" w:line="240" w:lineRule="auto"/>
              <w:jc w:val="center"/>
              <w:rPr>
                <w:rFonts w:cs="Calibri"/>
              </w:rPr>
            </w:pPr>
            <w:r>
              <w:rPr>
                <w:rFonts w:cs="Calibri"/>
              </w:rPr>
              <w:t>30</w:t>
            </w:r>
            <w:r w:rsidR="003B3D1B" w:rsidRPr="00074652">
              <w:rPr>
                <w:rFonts w:cs="Calibri"/>
              </w:rPr>
              <w:t>%</w:t>
            </w:r>
          </w:p>
        </w:tc>
        <w:tc>
          <w:tcPr>
            <w:tcW w:w="671" w:type="pct"/>
            <w:noWrap/>
          </w:tcPr>
          <w:p w:rsidR="003B3D1B" w:rsidRPr="00074652" w:rsidRDefault="004A4B67" w:rsidP="00BF5653">
            <w:pPr>
              <w:spacing w:after="0" w:line="240" w:lineRule="auto"/>
              <w:jc w:val="center"/>
              <w:rPr>
                <w:rFonts w:cs="Calibri"/>
              </w:rPr>
            </w:pPr>
            <w:r>
              <w:rPr>
                <w:rFonts w:cs="Calibri"/>
              </w:rPr>
              <w:t>27</w:t>
            </w:r>
            <w:r w:rsidR="003B3D1B" w:rsidRPr="00074652">
              <w:rPr>
                <w:rFonts w:cs="Calibri"/>
              </w:rPr>
              <w:t>%</w:t>
            </w:r>
          </w:p>
        </w:tc>
        <w:tc>
          <w:tcPr>
            <w:tcW w:w="580" w:type="pct"/>
            <w:noWrap/>
          </w:tcPr>
          <w:p w:rsidR="003B3D1B" w:rsidRPr="00074652" w:rsidRDefault="003B3D1B" w:rsidP="003B3D1B">
            <w:pPr>
              <w:spacing w:after="0" w:line="240" w:lineRule="auto"/>
              <w:jc w:val="center"/>
              <w:rPr>
                <w:rFonts w:cs="Calibri"/>
              </w:rPr>
            </w:pPr>
            <w:r>
              <w:rPr>
                <w:rFonts w:cs="Calibri"/>
              </w:rPr>
              <w:t>24</w:t>
            </w:r>
            <w:r w:rsidRPr="00074652">
              <w:rPr>
                <w:rFonts w:cs="Calibri"/>
              </w:rPr>
              <w:t>%</w:t>
            </w:r>
          </w:p>
        </w:tc>
        <w:tc>
          <w:tcPr>
            <w:tcW w:w="1221" w:type="pct"/>
            <w:noWrap/>
          </w:tcPr>
          <w:p w:rsidR="003B3D1B" w:rsidRPr="00074652" w:rsidRDefault="003B3D1B" w:rsidP="003B3D1B">
            <w:pPr>
              <w:spacing w:after="0" w:line="240" w:lineRule="auto"/>
              <w:jc w:val="center"/>
              <w:rPr>
                <w:rFonts w:cs="Calibri"/>
              </w:rPr>
            </w:pPr>
            <w:r>
              <w:rPr>
                <w:rFonts w:cs="Calibri"/>
              </w:rPr>
              <w:t>14</w:t>
            </w:r>
            <w:r w:rsidRPr="00074652">
              <w:rPr>
                <w:rFonts w:cs="Calibri"/>
              </w:rPr>
              <w:t>%</w:t>
            </w:r>
          </w:p>
        </w:tc>
      </w:tr>
      <w:tr w:rsidR="003B3D1B" w:rsidRPr="00074652" w:rsidTr="003B3D1B">
        <w:trPr>
          <w:trHeight w:val="300"/>
        </w:trPr>
        <w:tc>
          <w:tcPr>
            <w:tcW w:w="1858" w:type="pct"/>
            <w:shd w:val="clear" w:color="auto" w:fill="D7DCEC"/>
            <w:noWrap/>
          </w:tcPr>
          <w:p w:rsidR="003B3D1B" w:rsidRPr="00074652" w:rsidRDefault="003B3D1B" w:rsidP="00BF5653">
            <w:pPr>
              <w:spacing w:after="0" w:line="240" w:lineRule="auto"/>
              <w:rPr>
                <w:rFonts w:cs="Calibri"/>
                <w:b/>
                <w:bCs/>
              </w:rPr>
            </w:pPr>
            <w:r w:rsidRPr="00074652">
              <w:rPr>
                <w:rFonts w:cs="Calibri"/>
                <w:b/>
                <w:bCs/>
              </w:rPr>
              <w:t>Adult obesity</w:t>
            </w:r>
            <w:r w:rsidRPr="00074652">
              <w:rPr>
                <w:rStyle w:val="FootnoteReference"/>
                <w:rFonts w:cs="Calibri"/>
                <w:b/>
                <w:bCs/>
              </w:rPr>
              <w:footnoteReference w:id="13"/>
            </w:r>
          </w:p>
        </w:tc>
        <w:tc>
          <w:tcPr>
            <w:tcW w:w="670" w:type="pct"/>
            <w:shd w:val="clear" w:color="auto" w:fill="D7DCEC"/>
            <w:noWrap/>
          </w:tcPr>
          <w:p w:rsidR="003B3D1B" w:rsidRPr="00074652" w:rsidRDefault="00E2534D" w:rsidP="00BF5653">
            <w:pPr>
              <w:spacing w:after="0" w:line="240" w:lineRule="auto"/>
              <w:jc w:val="center"/>
              <w:rPr>
                <w:rFonts w:cs="Calibri"/>
              </w:rPr>
            </w:pPr>
            <w:r>
              <w:rPr>
                <w:rFonts w:cs="Calibri"/>
              </w:rPr>
              <w:t>31</w:t>
            </w:r>
            <w:r w:rsidR="003B3D1B" w:rsidRPr="00074652">
              <w:rPr>
                <w:rFonts w:cs="Calibri"/>
              </w:rPr>
              <w:t>%</w:t>
            </w:r>
          </w:p>
        </w:tc>
        <w:tc>
          <w:tcPr>
            <w:tcW w:w="671" w:type="pct"/>
            <w:shd w:val="clear" w:color="auto" w:fill="D7DCEC"/>
            <w:noWrap/>
          </w:tcPr>
          <w:p w:rsidR="003B3D1B" w:rsidRPr="00074652" w:rsidRDefault="004A4B67" w:rsidP="00BF5653">
            <w:pPr>
              <w:spacing w:after="0" w:line="240" w:lineRule="auto"/>
              <w:jc w:val="center"/>
              <w:rPr>
                <w:rFonts w:cs="Calibri"/>
              </w:rPr>
            </w:pPr>
            <w:r>
              <w:rPr>
                <w:rFonts w:cs="Calibri"/>
              </w:rPr>
              <w:t>37</w:t>
            </w:r>
            <w:r w:rsidR="003B3D1B" w:rsidRPr="00074652">
              <w:rPr>
                <w:rFonts w:cs="Calibri"/>
              </w:rPr>
              <w:t>%</w:t>
            </w:r>
          </w:p>
        </w:tc>
        <w:tc>
          <w:tcPr>
            <w:tcW w:w="580" w:type="pct"/>
            <w:shd w:val="clear" w:color="auto" w:fill="D7DCEC"/>
            <w:noWrap/>
          </w:tcPr>
          <w:p w:rsidR="003B3D1B" w:rsidRPr="00074652" w:rsidRDefault="003B3D1B" w:rsidP="003B3D1B">
            <w:pPr>
              <w:spacing w:after="0" w:line="240" w:lineRule="auto"/>
              <w:jc w:val="center"/>
              <w:rPr>
                <w:rFonts w:cs="Calibri"/>
              </w:rPr>
            </w:pPr>
            <w:r>
              <w:rPr>
                <w:rFonts w:cs="Calibri"/>
              </w:rPr>
              <w:t>31</w:t>
            </w:r>
            <w:r w:rsidRPr="00074652">
              <w:rPr>
                <w:rFonts w:cs="Calibri"/>
              </w:rPr>
              <w:t>%</w:t>
            </w:r>
          </w:p>
        </w:tc>
        <w:tc>
          <w:tcPr>
            <w:tcW w:w="1221" w:type="pct"/>
            <w:shd w:val="clear" w:color="auto" w:fill="D7DCEC"/>
            <w:noWrap/>
          </w:tcPr>
          <w:p w:rsidR="003B3D1B" w:rsidRPr="00074652" w:rsidRDefault="003B3D1B" w:rsidP="003B3D1B">
            <w:pPr>
              <w:spacing w:after="0" w:line="240" w:lineRule="auto"/>
              <w:jc w:val="center"/>
              <w:rPr>
                <w:rFonts w:cs="Calibri"/>
              </w:rPr>
            </w:pPr>
            <w:r w:rsidRPr="00074652">
              <w:rPr>
                <w:rFonts w:cs="Calibri"/>
              </w:rPr>
              <w:t>25%</w:t>
            </w:r>
          </w:p>
        </w:tc>
      </w:tr>
      <w:tr w:rsidR="003B3D1B" w:rsidRPr="00074652" w:rsidTr="003B3D1B">
        <w:trPr>
          <w:trHeight w:val="300"/>
        </w:trPr>
        <w:tc>
          <w:tcPr>
            <w:tcW w:w="1858" w:type="pct"/>
            <w:noWrap/>
          </w:tcPr>
          <w:p w:rsidR="003B3D1B" w:rsidRPr="00074652" w:rsidRDefault="003B3D1B" w:rsidP="00BF5653">
            <w:pPr>
              <w:spacing w:after="0" w:line="240" w:lineRule="auto"/>
              <w:rPr>
                <w:rFonts w:cs="Calibri"/>
                <w:b/>
                <w:bCs/>
              </w:rPr>
            </w:pPr>
            <w:r w:rsidRPr="00074652">
              <w:rPr>
                <w:rFonts w:cs="Calibri"/>
                <w:b/>
                <w:bCs/>
              </w:rPr>
              <w:t>Excessive drinking</w:t>
            </w:r>
            <w:r w:rsidRPr="00074652">
              <w:rPr>
                <w:rStyle w:val="FootnoteReference"/>
                <w:rFonts w:cs="Calibri"/>
                <w:b/>
                <w:bCs/>
              </w:rPr>
              <w:footnoteReference w:id="14"/>
            </w:r>
          </w:p>
        </w:tc>
        <w:tc>
          <w:tcPr>
            <w:tcW w:w="670" w:type="pct"/>
            <w:noWrap/>
          </w:tcPr>
          <w:p w:rsidR="003B3D1B" w:rsidRPr="00074652" w:rsidRDefault="00E2534D" w:rsidP="00BF5653">
            <w:pPr>
              <w:spacing w:after="0" w:line="240" w:lineRule="auto"/>
              <w:jc w:val="center"/>
              <w:rPr>
                <w:rFonts w:cs="Calibri"/>
              </w:rPr>
            </w:pPr>
            <w:r>
              <w:rPr>
                <w:rFonts w:cs="Calibri"/>
              </w:rPr>
              <w:t>17</w:t>
            </w:r>
            <w:r w:rsidR="003B3D1B" w:rsidRPr="00074652">
              <w:rPr>
                <w:rFonts w:cs="Calibri"/>
              </w:rPr>
              <w:t>%</w:t>
            </w:r>
          </w:p>
        </w:tc>
        <w:tc>
          <w:tcPr>
            <w:tcW w:w="671" w:type="pct"/>
            <w:noWrap/>
          </w:tcPr>
          <w:p w:rsidR="003B3D1B" w:rsidRPr="00074652" w:rsidRDefault="004A4B67" w:rsidP="00BF5653">
            <w:pPr>
              <w:spacing w:after="0" w:line="240" w:lineRule="auto"/>
              <w:jc w:val="center"/>
              <w:rPr>
                <w:rFonts w:cs="Calibri"/>
              </w:rPr>
            </w:pPr>
            <w:r>
              <w:rPr>
                <w:rFonts w:cs="Calibri"/>
              </w:rPr>
              <w:t>17</w:t>
            </w:r>
            <w:r w:rsidR="003B3D1B" w:rsidRPr="00074652">
              <w:rPr>
                <w:rFonts w:cs="Calibri"/>
              </w:rPr>
              <w:t>%</w:t>
            </w:r>
          </w:p>
        </w:tc>
        <w:tc>
          <w:tcPr>
            <w:tcW w:w="580" w:type="pct"/>
            <w:noWrap/>
          </w:tcPr>
          <w:p w:rsidR="003B3D1B" w:rsidRPr="00074652" w:rsidRDefault="003B3D1B" w:rsidP="003B3D1B">
            <w:pPr>
              <w:spacing w:after="0" w:line="240" w:lineRule="auto"/>
              <w:jc w:val="center"/>
              <w:rPr>
                <w:rFonts w:cs="Calibri"/>
              </w:rPr>
            </w:pPr>
            <w:r>
              <w:rPr>
                <w:rFonts w:cs="Calibri"/>
              </w:rPr>
              <w:t>17</w:t>
            </w:r>
            <w:r w:rsidRPr="00074652">
              <w:rPr>
                <w:rFonts w:cs="Calibri"/>
              </w:rPr>
              <w:t>%</w:t>
            </w:r>
          </w:p>
        </w:tc>
        <w:tc>
          <w:tcPr>
            <w:tcW w:w="1221" w:type="pct"/>
            <w:noWrap/>
          </w:tcPr>
          <w:p w:rsidR="003B3D1B" w:rsidRPr="00074652" w:rsidRDefault="003B3D1B" w:rsidP="003B3D1B">
            <w:pPr>
              <w:spacing w:after="0" w:line="240" w:lineRule="auto"/>
              <w:jc w:val="center"/>
              <w:rPr>
                <w:rFonts w:cs="Calibri"/>
              </w:rPr>
            </w:pPr>
            <w:r w:rsidRPr="00074652">
              <w:rPr>
                <w:rFonts w:cs="Calibri"/>
              </w:rPr>
              <w:t>8%</w:t>
            </w:r>
          </w:p>
        </w:tc>
      </w:tr>
      <w:tr w:rsidR="003B3D1B" w:rsidRPr="00074652" w:rsidTr="003B3D1B">
        <w:trPr>
          <w:trHeight w:val="300"/>
        </w:trPr>
        <w:tc>
          <w:tcPr>
            <w:tcW w:w="1858" w:type="pct"/>
            <w:shd w:val="clear" w:color="auto" w:fill="D7DCEC"/>
            <w:noWrap/>
          </w:tcPr>
          <w:p w:rsidR="003B3D1B" w:rsidRPr="00074652" w:rsidRDefault="003B3D1B" w:rsidP="00BF5653">
            <w:pPr>
              <w:spacing w:after="0" w:line="240" w:lineRule="auto"/>
              <w:rPr>
                <w:rFonts w:cs="Calibri"/>
                <w:b/>
                <w:bCs/>
              </w:rPr>
            </w:pPr>
            <w:r w:rsidRPr="00074652">
              <w:rPr>
                <w:rFonts w:cs="Calibri"/>
                <w:b/>
                <w:bCs/>
              </w:rPr>
              <w:t>Motor vehicle crash death rate</w:t>
            </w:r>
            <w:r w:rsidRPr="00074652">
              <w:rPr>
                <w:rStyle w:val="FootnoteReference"/>
                <w:rFonts w:cs="Calibri"/>
                <w:b/>
                <w:bCs/>
              </w:rPr>
              <w:footnoteReference w:id="15"/>
            </w:r>
          </w:p>
        </w:tc>
        <w:tc>
          <w:tcPr>
            <w:tcW w:w="670" w:type="pct"/>
            <w:shd w:val="clear" w:color="auto" w:fill="D7DCEC"/>
            <w:noWrap/>
          </w:tcPr>
          <w:p w:rsidR="003B3D1B" w:rsidRPr="00074652" w:rsidRDefault="00E2534D" w:rsidP="00BF5653">
            <w:pPr>
              <w:spacing w:after="0" w:line="240" w:lineRule="auto"/>
              <w:jc w:val="center"/>
              <w:rPr>
                <w:rFonts w:cs="Calibri"/>
              </w:rPr>
            </w:pPr>
            <w:r>
              <w:rPr>
                <w:rFonts w:cs="Calibri"/>
              </w:rPr>
              <w:t>34</w:t>
            </w:r>
          </w:p>
        </w:tc>
        <w:tc>
          <w:tcPr>
            <w:tcW w:w="671" w:type="pct"/>
            <w:shd w:val="clear" w:color="auto" w:fill="D7DCEC"/>
            <w:noWrap/>
          </w:tcPr>
          <w:p w:rsidR="003B3D1B" w:rsidRPr="00074652" w:rsidRDefault="004A4B67" w:rsidP="00BF5653">
            <w:pPr>
              <w:spacing w:after="0" w:line="240" w:lineRule="auto"/>
              <w:jc w:val="center"/>
              <w:rPr>
                <w:rFonts w:cs="Calibri"/>
              </w:rPr>
            </w:pPr>
            <w:r>
              <w:rPr>
                <w:rFonts w:cs="Calibri"/>
              </w:rPr>
              <w:t>32</w:t>
            </w:r>
          </w:p>
        </w:tc>
        <w:tc>
          <w:tcPr>
            <w:tcW w:w="580" w:type="pct"/>
            <w:shd w:val="clear" w:color="auto" w:fill="D7DCEC"/>
            <w:noWrap/>
          </w:tcPr>
          <w:p w:rsidR="003B3D1B" w:rsidRPr="00074652" w:rsidRDefault="003B3D1B" w:rsidP="003B3D1B">
            <w:pPr>
              <w:spacing w:after="0" w:line="240" w:lineRule="auto"/>
              <w:jc w:val="center"/>
              <w:rPr>
                <w:rFonts w:cs="Calibri"/>
              </w:rPr>
            </w:pPr>
            <w:r w:rsidRPr="00074652">
              <w:rPr>
                <w:rFonts w:cs="Calibri"/>
              </w:rPr>
              <w:t>19</w:t>
            </w:r>
          </w:p>
        </w:tc>
        <w:tc>
          <w:tcPr>
            <w:tcW w:w="1221" w:type="pct"/>
            <w:shd w:val="clear" w:color="auto" w:fill="D7DCEC"/>
            <w:noWrap/>
          </w:tcPr>
          <w:p w:rsidR="003B3D1B" w:rsidRPr="00074652" w:rsidRDefault="003B3D1B" w:rsidP="003B3D1B">
            <w:pPr>
              <w:spacing w:after="0" w:line="240" w:lineRule="auto"/>
              <w:jc w:val="center"/>
              <w:rPr>
                <w:rFonts w:cs="Calibri"/>
              </w:rPr>
            </w:pPr>
            <w:r w:rsidRPr="00074652">
              <w:rPr>
                <w:rFonts w:cs="Calibri"/>
              </w:rPr>
              <w:t>12</w:t>
            </w:r>
          </w:p>
        </w:tc>
      </w:tr>
      <w:tr w:rsidR="003B3D1B" w:rsidRPr="00074652" w:rsidTr="003B3D1B">
        <w:trPr>
          <w:trHeight w:val="300"/>
        </w:trPr>
        <w:tc>
          <w:tcPr>
            <w:tcW w:w="1858" w:type="pct"/>
            <w:noWrap/>
          </w:tcPr>
          <w:p w:rsidR="003B3D1B" w:rsidRPr="00074652" w:rsidRDefault="003B3D1B" w:rsidP="00BF5653">
            <w:pPr>
              <w:spacing w:after="0" w:line="240" w:lineRule="auto"/>
              <w:rPr>
                <w:rFonts w:cs="Calibri"/>
                <w:b/>
                <w:bCs/>
              </w:rPr>
            </w:pPr>
            <w:r w:rsidRPr="00074652">
              <w:rPr>
                <w:rFonts w:cs="Calibri"/>
                <w:b/>
                <w:bCs/>
              </w:rPr>
              <w:t>Sexually transmitted infections</w:t>
            </w:r>
            <w:r w:rsidRPr="00074652">
              <w:rPr>
                <w:rStyle w:val="FootnoteReference"/>
                <w:rFonts w:cs="Calibri"/>
                <w:b/>
                <w:bCs/>
              </w:rPr>
              <w:footnoteReference w:id="16"/>
            </w:r>
          </w:p>
        </w:tc>
        <w:tc>
          <w:tcPr>
            <w:tcW w:w="670" w:type="pct"/>
            <w:noWrap/>
          </w:tcPr>
          <w:p w:rsidR="003B3D1B" w:rsidRPr="00074652" w:rsidRDefault="00E2534D" w:rsidP="00BF5653">
            <w:pPr>
              <w:spacing w:after="0" w:line="240" w:lineRule="auto"/>
              <w:jc w:val="center"/>
              <w:rPr>
                <w:rFonts w:cs="Calibri"/>
              </w:rPr>
            </w:pPr>
            <w:r>
              <w:rPr>
                <w:rFonts w:cs="Calibri"/>
              </w:rPr>
              <w:t>223</w:t>
            </w:r>
          </w:p>
        </w:tc>
        <w:tc>
          <w:tcPr>
            <w:tcW w:w="671" w:type="pct"/>
            <w:noWrap/>
          </w:tcPr>
          <w:p w:rsidR="003B3D1B" w:rsidRPr="00074652" w:rsidRDefault="004A4B67" w:rsidP="00BF5653">
            <w:pPr>
              <w:spacing w:after="0" w:line="240" w:lineRule="auto"/>
              <w:jc w:val="center"/>
              <w:rPr>
                <w:rFonts w:cs="Calibri"/>
              </w:rPr>
            </w:pPr>
            <w:r>
              <w:rPr>
                <w:rFonts w:cs="Calibri"/>
              </w:rPr>
              <w:t>239</w:t>
            </w:r>
          </w:p>
        </w:tc>
        <w:tc>
          <w:tcPr>
            <w:tcW w:w="580" w:type="pct"/>
            <w:noWrap/>
          </w:tcPr>
          <w:p w:rsidR="003B3D1B" w:rsidRPr="00074652" w:rsidRDefault="003B3D1B" w:rsidP="003B3D1B">
            <w:pPr>
              <w:spacing w:after="0" w:line="240" w:lineRule="auto"/>
              <w:jc w:val="center"/>
              <w:rPr>
                <w:rFonts w:cs="Calibri"/>
              </w:rPr>
            </w:pPr>
            <w:r>
              <w:rPr>
                <w:rFonts w:cs="Calibri"/>
              </w:rPr>
              <w:t>438</w:t>
            </w:r>
          </w:p>
        </w:tc>
        <w:tc>
          <w:tcPr>
            <w:tcW w:w="1221" w:type="pct"/>
            <w:noWrap/>
          </w:tcPr>
          <w:p w:rsidR="003B3D1B" w:rsidRPr="00074652" w:rsidRDefault="003B3D1B" w:rsidP="003B3D1B">
            <w:pPr>
              <w:spacing w:after="0" w:line="240" w:lineRule="auto"/>
              <w:jc w:val="center"/>
              <w:rPr>
                <w:rFonts w:cs="Calibri"/>
              </w:rPr>
            </w:pPr>
            <w:r>
              <w:rPr>
                <w:rFonts w:cs="Calibri"/>
              </w:rPr>
              <w:t>84</w:t>
            </w:r>
          </w:p>
        </w:tc>
      </w:tr>
      <w:tr w:rsidR="003B3D1B" w:rsidRPr="00074652" w:rsidTr="003B3D1B">
        <w:trPr>
          <w:trHeight w:val="315"/>
        </w:trPr>
        <w:tc>
          <w:tcPr>
            <w:tcW w:w="1858" w:type="pct"/>
            <w:shd w:val="clear" w:color="auto" w:fill="D7DCEC"/>
            <w:noWrap/>
          </w:tcPr>
          <w:p w:rsidR="003B3D1B" w:rsidRPr="00074652" w:rsidRDefault="003B3D1B" w:rsidP="00BF5653">
            <w:pPr>
              <w:spacing w:after="0" w:line="240" w:lineRule="auto"/>
              <w:rPr>
                <w:rFonts w:cs="Calibri"/>
                <w:b/>
                <w:bCs/>
              </w:rPr>
            </w:pPr>
            <w:r w:rsidRPr="00074652">
              <w:rPr>
                <w:rFonts w:cs="Calibri"/>
                <w:b/>
                <w:bCs/>
              </w:rPr>
              <w:t>Teen birth rate</w:t>
            </w:r>
            <w:r w:rsidRPr="00074652">
              <w:rPr>
                <w:rStyle w:val="FootnoteReference"/>
                <w:rFonts w:cs="Calibri"/>
                <w:b/>
                <w:bCs/>
              </w:rPr>
              <w:footnoteReference w:id="17"/>
            </w:r>
          </w:p>
        </w:tc>
        <w:tc>
          <w:tcPr>
            <w:tcW w:w="670" w:type="pct"/>
            <w:shd w:val="clear" w:color="auto" w:fill="D7DCEC"/>
            <w:noWrap/>
          </w:tcPr>
          <w:p w:rsidR="003B3D1B" w:rsidRPr="00074652" w:rsidRDefault="00E2534D" w:rsidP="00BF5653">
            <w:pPr>
              <w:spacing w:after="0" w:line="240" w:lineRule="auto"/>
              <w:jc w:val="center"/>
              <w:rPr>
                <w:rFonts w:cs="Calibri"/>
              </w:rPr>
            </w:pPr>
            <w:r>
              <w:rPr>
                <w:rFonts w:cs="Calibri"/>
              </w:rPr>
              <w:t>49</w:t>
            </w:r>
          </w:p>
        </w:tc>
        <w:tc>
          <w:tcPr>
            <w:tcW w:w="671" w:type="pct"/>
            <w:shd w:val="clear" w:color="auto" w:fill="D7DCEC"/>
            <w:noWrap/>
          </w:tcPr>
          <w:p w:rsidR="003B3D1B" w:rsidRPr="00074652" w:rsidRDefault="004A4B67" w:rsidP="00BF5653">
            <w:pPr>
              <w:spacing w:after="0" w:line="240" w:lineRule="auto"/>
              <w:jc w:val="center"/>
              <w:rPr>
                <w:rFonts w:cs="Calibri"/>
              </w:rPr>
            </w:pPr>
            <w:r>
              <w:rPr>
                <w:rFonts w:cs="Calibri"/>
              </w:rPr>
              <w:t>47</w:t>
            </w:r>
          </w:p>
        </w:tc>
        <w:tc>
          <w:tcPr>
            <w:tcW w:w="580" w:type="pct"/>
            <w:shd w:val="clear" w:color="auto" w:fill="D7DCEC"/>
            <w:noWrap/>
          </w:tcPr>
          <w:p w:rsidR="003B3D1B" w:rsidRPr="00074652" w:rsidRDefault="003B3D1B" w:rsidP="003B3D1B">
            <w:pPr>
              <w:spacing w:after="0" w:line="240" w:lineRule="auto"/>
              <w:jc w:val="center"/>
              <w:rPr>
                <w:rFonts w:cs="Calibri"/>
              </w:rPr>
            </w:pPr>
            <w:r>
              <w:rPr>
                <w:rFonts w:cs="Calibri"/>
              </w:rPr>
              <w:t>44</w:t>
            </w:r>
          </w:p>
        </w:tc>
        <w:tc>
          <w:tcPr>
            <w:tcW w:w="1221" w:type="pct"/>
            <w:shd w:val="clear" w:color="auto" w:fill="D7DCEC"/>
            <w:noWrap/>
          </w:tcPr>
          <w:p w:rsidR="003B3D1B" w:rsidRPr="00074652" w:rsidRDefault="003B3D1B" w:rsidP="003B3D1B">
            <w:pPr>
              <w:spacing w:after="0" w:line="240" w:lineRule="auto"/>
              <w:jc w:val="center"/>
              <w:rPr>
                <w:rFonts w:cs="Calibri"/>
              </w:rPr>
            </w:pPr>
            <w:r w:rsidRPr="00074652">
              <w:rPr>
                <w:rFonts w:cs="Calibri"/>
              </w:rPr>
              <w:t>22</w:t>
            </w:r>
          </w:p>
        </w:tc>
      </w:tr>
    </w:tbl>
    <w:p w:rsidR="00BF5653" w:rsidRPr="00074652" w:rsidRDefault="00BF5653" w:rsidP="00BF5653">
      <w:pPr>
        <w:pStyle w:val="Heading5"/>
        <w:rPr>
          <w:rStyle w:val="SubtleReference1"/>
          <w:rFonts w:ascii="Cambria" w:hAnsi="Cambria"/>
          <w:i w:val="0"/>
          <w:iCs/>
          <w:smallCaps/>
          <w:color w:val="auto"/>
        </w:rPr>
      </w:pPr>
      <w:r w:rsidRPr="00074652">
        <w:rPr>
          <w:rStyle w:val="SubtleReference1"/>
          <w:rFonts w:ascii="Cambria" w:hAnsi="Cambria"/>
          <w:i w:val="0"/>
          <w:color w:val="auto"/>
        </w:rPr>
        <w:t>Discussion</w:t>
      </w:r>
    </w:p>
    <w:p w:rsidR="00BF5653" w:rsidRPr="0089408B" w:rsidRDefault="00BF5653" w:rsidP="00BF5653">
      <w:r w:rsidRPr="0089408B">
        <w:t>Each year thousands of premature deaths occur primarily due to smoking and it is identified as a contributing factor to multiple diseases such as cancer, cardiovascular disease, and respiratory conditions</w:t>
      </w:r>
      <w:r w:rsidR="00596B54" w:rsidRPr="0089408B">
        <w:t>,</w:t>
      </w:r>
      <w:r w:rsidRPr="0089408B">
        <w:t xml:space="preserve"> to name a few.   Alerting communities to the adverse effects of tobacco use can be valuable in assessing the needs for cessation programs or the effectiveness of existing ones.</w:t>
      </w:r>
      <w:r w:rsidRPr="0089408B">
        <w:rPr>
          <w:vertAlign w:val="superscript"/>
        </w:rPr>
        <w:t xml:space="preserve">11  </w:t>
      </w:r>
    </w:p>
    <w:p w:rsidR="00BF5653" w:rsidRPr="0089408B" w:rsidRDefault="00BF5653" w:rsidP="00BF5653">
      <w:pPr>
        <w:rPr>
          <w:vertAlign w:val="superscript"/>
        </w:rPr>
      </w:pPr>
      <w:r w:rsidRPr="0089408B">
        <w:t>Adult obesity is becoming an epidemic in the U.S. and increases the risk for countless health conditions.  Obesity is an energy imbalance due to a lack of physical activity combined with a poor diet.  Obesity can ultimately lead to the following: coronary heart disease, type II diabetes, cancer, hypertension, stroke, gall bladder disorders, respiratory problems, and osteoarthritis.</w:t>
      </w:r>
      <w:r w:rsidRPr="0089408B">
        <w:rPr>
          <w:vertAlign w:val="superscript"/>
        </w:rPr>
        <w:t>12</w:t>
      </w:r>
    </w:p>
    <w:p w:rsidR="00BF5653" w:rsidRPr="0089408B" w:rsidRDefault="00BF5653" w:rsidP="00BF5653">
      <w:pPr>
        <w:rPr>
          <w:vertAlign w:val="superscript"/>
        </w:rPr>
      </w:pPr>
      <w:r w:rsidRPr="0089408B">
        <w:t>Excessive drinking is the third leading lifestyle-related cause of death in the U.S. annually.  It is also a risk factor for a number of ad</w:t>
      </w:r>
      <w:r w:rsidR="00596B54" w:rsidRPr="0089408B">
        <w:t>verse health outcomes including;</w:t>
      </w:r>
      <w:r w:rsidRPr="0089408B">
        <w:t xml:space="preserve"> alcohol poisoning, hypertension, acute myocardial infarction, sexually transmitted infections, unintended pregnancy, fetal alcohol syndrome, sudden infant death syndrome, suicide, interpersonal violence, and motor vehicle crashes.</w:t>
      </w:r>
      <w:r w:rsidR="003B3D1B" w:rsidRPr="0089408B">
        <w:rPr>
          <w:vertAlign w:val="superscript"/>
        </w:rPr>
        <w:t>16</w:t>
      </w:r>
    </w:p>
    <w:p w:rsidR="00BF5653" w:rsidRPr="0089408B" w:rsidRDefault="00BF5653" w:rsidP="00BF5653">
      <w:pPr>
        <w:rPr>
          <w:vertAlign w:val="superscript"/>
        </w:rPr>
      </w:pPr>
      <w:r w:rsidRPr="0089408B">
        <w:t>Teen pregnancy is associated with poor prenatal care and pre-term delivery. Pregnant teens are more likely than older women to receive late or no prenatal care, have gestational hypertension and anemia, and achieve poor maternal weight gain. They are also more likely to have a pre-term delivery and low birth weight, increasing the risk of child developmental delay, illness, and mortality.</w:t>
      </w:r>
      <w:r w:rsidR="003B3D1B" w:rsidRPr="0089408B">
        <w:rPr>
          <w:vertAlign w:val="superscript"/>
        </w:rPr>
        <w:t>18</w:t>
      </w:r>
    </w:p>
    <w:p w:rsidR="00BF5653" w:rsidRPr="00074652" w:rsidRDefault="00BF5653" w:rsidP="00BF5653">
      <w:pPr>
        <w:pStyle w:val="Heading3"/>
        <w:rPr>
          <w:color w:val="auto"/>
        </w:rPr>
      </w:pPr>
      <w:bookmarkStart w:id="79" w:name="_Toc292981209"/>
      <w:bookmarkStart w:id="80" w:name="_Toc318638278"/>
      <w:bookmarkStart w:id="81" w:name="_Toc229126466"/>
      <w:r w:rsidRPr="00074652">
        <w:rPr>
          <w:color w:val="auto"/>
        </w:rPr>
        <w:lastRenderedPageBreak/>
        <w:t>Health Behaviors – Figure 2.</w:t>
      </w:r>
      <w:bookmarkEnd w:id="79"/>
      <w:r>
        <w:rPr>
          <w:color w:val="auto"/>
        </w:rPr>
        <w:t>7</w:t>
      </w:r>
      <w:bookmarkEnd w:id="80"/>
      <w:bookmarkEnd w:id="81"/>
    </w:p>
    <w:p w:rsidR="003D1CED" w:rsidRDefault="00FA23ED" w:rsidP="003B3D1B">
      <w:pPr>
        <w:rPr>
          <w:noProof/>
        </w:rPr>
      </w:pPr>
      <w:r>
        <w:rPr>
          <w:noProof/>
        </w:rPr>
        <w:drawing>
          <wp:anchor distT="15031" distB="22546" distL="130271" distR="138256" simplePos="0" relativeHeight="251651072" behindDoc="1" locked="0" layoutInCell="1" allowOverlap="1">
            <wp:simplePos x="0" y="0"/>
            <wp:positionH relativeFrom="column">
              <wp:posOffset>15971</wp:posOffset>
            </wp:positionH>
            <wp:positionV relativeFrom="paragraph">
              <wp:posOffset>15031</wp:posOffset>
            </wp:positionV>
            <wp:extent cx="5789295" cy="3381375"/>
            <wp:effectExtent l="19050" t="19050" r="20955" b="9525"/>
            <wp:wrapNone/>
            <wp:docPr id="7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3D1CED" w:rsidRDefault="003D1CED" w:rsidP="003B3D1B">
      <w:pPr>
        <w:rPr>
          <w:i/>
        </w:rPr>
      </w:pPr>
    </w:p>
    <w:p w:rsidR="003D1CED" w:rsidRDefault="003D1CED" w:rsidP="003B3D1B">
      <w:pPr>
        <w:rPr>
          <w:i/>
        </w:rPr>
      </w:pPr>
    </w:p>
    <w:p w:rsidR="003D1CED" w:rsidRDefault="003D1CED" w:rsidP="003B3D1B">
      <w:pPr>
        <w:rPr>
          <w:i/>
        </w:rPr>
      </w:pPr>
    </w:p>
    <w:p w:rsidR="003D1CED" w:rsidRDefault="003D1CED" w:rsidP="003B3D1B">
      <w:pPr>
        <w:rPr>
          <w:i/>
        </w:rPr>
      </w:pPr>
    </w:p>
    <w:p w:rsidR="003D1CED" w:rsidRDefault="003D1CED" w:rsidP="003B3D1B">
      <w:pPr>
        <w:rPr>
          <w:i/>
        </w:rPr>
      </w:pPr>
    </w:p>
    <w:p w:rsidR="003D1CED" w:rsidRDefault="003D1CED" w:rsidP="003B3D1B">
      <w:pPr>
        <w:rPr>
          <w:i/>
        </w:rPr>
      </w:pPr>
    </w:p>
    <w:p w:rsidR="003D1CED" w:rsidRDefault="003D1CED" w:rsidP="003B3D1B">
      <w:pPr>
        <w:rPr>
          <w:i/>
        </w:rPr>
      </w:pPr>
    </w:p>
    <w:p w:rsidR="003D1CED" w:rsidRDefault="003D1CED" w:rsidP="003B3D1B">
      <w:pPr>
        <w:rPr>
          <w:i/>
        </w:rPr>
      </w:pPr>
    </w:p>
    <w:p w:rsidR="003D1CED" w:rsidRDefault="003D1CED" w:rsidP="003B3D1B">
      <w:pPr>
        <w:rPr>
          <w:i/>
        </w:rPr>
      </w:pPr>
    </w:p>
    <w:p w:rsidR="003D1CED" w:rsidRDefault="003D1CED" w:rsidP="003B3D1B">
      <w:pPr>
        <w:rPr>
          <w:i/>
        </w:rPr>
      </w:pPr>
    </w:p>
    <w:p w:rsidR="00D10EEC" w:rsidRDefault="00D10EEC" w:rsidP="003B3D1B">
      <w:pPr>
        <w:rPr>
          <w:i/>
        </w:rPr>
      </w:pPr>
    </w:p>
    <w:p w:rsidR="00BF5653" w:rsidRPr="00074652" w:rsidRDefault="003B3D1B" w:rsidP="003B3D1B">
      <w:r w:rsidRPr="003B3D1B">
        <w:rPr>
          <w:i/>
        </w:rPr>
        <w:t>Source</w:t>
      </w:r>
      <w:r w:rsidRPr="00074652">
        <w:t>:</w:t>
      </w:r>
      <w:r w:rsidR="00BF5653" w:rsidRPr="003B3D1B">
        <w:rPr>
          <w:rStyle w:val="FootnoteReference"/>
        </w:rPr>
        <w:footnoteReference w:id="18"/>
      </w:r>
      <w:r w:rsidR="00BF5653" w:rsidRPr="003B3D1B">
        <w:rPr>
          <w:vertAlign w:val="superscript"/>
        </w:rPr>
        <w:t>,</w:t>
      </w:r>
      <w:r w:rsidR="00BF5653" w:rsidRPr="003B3D1B">
        <w:rPr>
          <w:rStyle w:val="FootnoteReference"/>
        </w:rPr>
        <w:footnoteReference w:id="19"/>
      </w:r>
      <w:r w:rsidR="00BF5653" w:rsidRPr="003B3D1B">
        <w:rPr>
          <w:vertAlign w:val="superscript"/>
        </w:rPr>
        <w:t>,</w:t>
      </w:r>
      <w:r w:rsidR="00BF5653" w:rsidRPr="003B3D1B">
        <w:rPr>
          <w:rStyle w:val="FootnoteReference"/>
        </w:rPr>
        <w:footnoteReference w:id="20"/>
      </w:r>
      <w:r w:rsidR="00BF5653" w:rsidRPr="003B3D1B">
        <w:rPr>
          <w:vertAlign w:val="superscript"/>
        </w:rPr>
        <w:t>,</w:t>
      </w:r>
      <w:r w:rsidR="00BF5653" w:rsidRPr="003B3D1B">
        <w:rPr>
          <w:rStyle w:val="FootnoteReference"/>
        </w:rPr>
        <w:footnoteReference w:id="21"/>
      </w:r>
      <w:r w:rsidR="00BF5653" w:rsidRPr="003B3D1B">
        <w:rPr>
          <w:vertAlign w:val="superscript"/>
        </w:rPr>
        <w:t>,</w:t>
      </w:r>
      <w:r w:rsidR="00BF5653" w:rsidRPr="003B3D1B">
        <w:rPr>
          <w:rStyle w:val="FootnoteReference"/>
        </w:rPr>
        <w:footnoteReference w:id="22"/>
      </w:r>
      <w:r w:rsidR="00BF5653" w:rsidRPr="003B3D1B">
        <w:rPr>
          <w:vertAlign w:val="superscript"/>
        </w:rPr>
        <w:t>,</w:t>
      </w:r>
      <w:r w:rsidR="00BF5653" w:rsidRPr="003B3D1B">
        <w:rPr>
          <w:rStyle w:val="FootnoteReference"/>
        </w:rPr>
        <w:footnoteReference w:id="23"/>
      </w:r>
      <w:r w:rsidR="00BF5653" w:rsidRPr="003B3D1B">
        <w:rPr>
          <w:vertAlign w:val="superscript"/>
        </w:rPr>
        <w:t>,</w:t>
      </w:r>
      <w:r w:rsidR="00BF5653" w:rsidRPr="003B3D1B">
        <w:rPr>
          <w:rStyle w:val="FootnoteReference"/>
        </w:rPr>
        <w:footnoteReference w:id="24"/>
      </w:r>
    </w:p>
    <w:p w:rsidR="00BF5653" w:rsidRPr="00566CB3" w:rsidRDefault="00BF5653" w:rsidP="00BF5653">
      <w:pPr>
        <w:pStyle w:val="Heading5"/>
        <w:rPr>
          <w:color w:val="auto"/>
          <w:sz w:val="22"/>
          <w:szCs w:val="22"/>
        </w:rPr>
      </w:pPr>
      <w:r w:rsidRPr="00566CB3">
        <w:rPr>
          <w:color w:val="auto"/>
          <w:sz w:val="22"/>
          <w:szCs w:val="22"/>
        </w:rPr>
        <w:t>Discussion</w:t>
      </w:r>
    </w:p>
    <w:p w:rsidR="00A274A6" w:rsidRPr="0089408B" w:rsidRDefault="00A274A6" w:rsidP="00A274A6">
      <w:r w:rsidRPr="0089408B">
        <w:t>Figure 2.7 compares statewide data from 2003 to 2010 for the risk factors that are known to be leading contributors to premature death.  The findings from the data indicate that Linn County had a lower percentage of diabetes</w:t>
      </w:r>
      <w:r w:rsidR="00C77B62" w:rsidRPr="0089408B">
        <w:t>,</w:t>
      </w:r>
      <w:r w:rsidRPr="0089408B">
        <w:t xml:space="preserve"> but a higher percentage of smokin</w:t>
      </w:r>
      <w:r w:rsidR="0089408B" w:rsidRPr="0089408B">
        <w:t xml:space="preserve">g </w:t>
      </w:r>
      <w:r w:rsidRPr="0089408B">
        <w:t xml:space="preserve">and lack of exercise compared to the averages for the state of Missouri.  Improvements need to be made in these areas because Linn County is much higher than the state average. </w:t>
      </w:r>
    </w:p>
    <w:p w:rsidR="00A274A6" w:rsidRPr="006540AF" w:rsidRDefault="00A274A6" w:rsidP="00A274A6">
      <w:pPr>
        <w:rPr>
          <w:i/>
        </w:rPr>
      </w:pPr>
      <w:r w:rsidRPr="00074652">
        <w:rPr>
          <w:i/>
        </w:rPr>
        <w:t>*Social and economic factors, while certainly one of the determinants of health, were not reviewed here since they will be covered elsewhere in the report.</w:t>
      </w:r>
    </w:p>
    <w:p w:rsidR="006540AF" w:rsidRDefault="006540AF" w:rsidP="00BF5653"/>
    <w:p w:rsidR="006540AF" w:rsidRPr="00074652" w:rsidRDefault="006540AF" w:rsidP="00BF5653"/>
    <w:p w:rsidR="00BF5653" w:rsidRPr="00074652" w:rsidRDefault="00BF5653" w:rsidP="00BF5653">
      <w:pPr>
        <w:pStyle w:val="Heading3"/>
        <w:rPr>
          <w:color w:val="auto"/>
        </w:rPr>
      </w:pPr>
      <w:bookmarkStart w:id="82" w:name="_Toc292981210"/>
      <w:bookmarkStart w:id="83" w:name="_Toc318638279"/>
      <w:bookmarkStart w:id="84" w:name="_Toc229126467"/>
      <w:r w:rsidRPr="00074652">
        <w:rPr>
          <w:color w:val="auto"/>
        </w:rPr>
        <w:lastRenderedPageBreak/>
        <w:t>Health Behaviors – Figure 2.</w:t>
      </w:r>
      <w:bookmarkEnd w:id="82"/>
      <w:r>
        <w:rPr>
          <w:color w:val="auto"/>
        </w:rPr>
        <w:t>8</w:t>
      </w:r>
      <w:bookmarkEnd w:id="83"/>
      <w:bookmarkEnd w:id="84"/>
    </w:p>
    <w:p w:rsidR="00DC269A" w:rsidRDefault="00FA23ED" w:rsidP="00BF5653">
      <w:pPr>
        <w:jc w:val="right"/>
        <w:rPr>
          <w:noProof/>
        </w:rPr>
      </w:pPr>
      <w:r>
        <w:rPr>
          <w:noProof/>
        </w:rPr>
        <w:drawing>
          <wp:anchor distT="0" distB="0" distL="114300" distR="114300" simplePos="0" relativeHeight="251652096" behindDoc="1" locked="0" layoutInCell="1" allowOverlap="1">
            <wp:simplePos x="0" y="0"/>
            <wp:positionH relativeFrom="column">
              <wp:posOffset>-228600</wp:posOffset>
            </wp:positionH>
            <wp:positionV relativeFrom="paragraph">
              <wp:posOffset>-9525</wp:posOffset>
            </wp:positionV>
            <wp:extent cx="6858000" cy="2549525"/>
            <wp:effectExtent l="0" t="0" r="0" b="3175"/>
            <wp:wrapNone/>
            <wp:docPr id="71" name="Picture 71" descr="Screen Shot 2013-01-07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creen Shot 2013-01-07 at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54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69A" w:rsidRDefault="00DC269A" w:rsidP="00BF5653">
      <w:pPr>
        <w:jc w:val="right"/>
        <w:rPr>
          <w:noProof/>
        </w:rPr>
      </w:pPr>
    </w:p>
    <w:p w:rsidR="00DC269A" w:rsidRDefault="00DC269A" w:rsidP="00BF5653">
      <w:pPr>
        <w:jc w:val="right"/>
        <w:rPr>
          <w:noProof/>
        </w:rPr>
      </w:pPr>
    </w:p>
    <w:p w:rsidR="00DC269A" w:rsidRDefault="00DC269A" w:rsidP="00BF5653">
      <w:pPr>
        <w:jc w:val="right"/>
      </w:pPr>
    </w:p>
    <w:p w:rsidR="00DC269A" w:rsidRDefault="00FA23ED" w:rsidP="00BF5653">
      <w:pPr>
        <w:jc w:val="right"/>
      </w:pPr>
      <w:r>
        <w:rPr>
          <w:noProof/>
        </w:rPr>
        <mc:AlternateContent>
          <mc:Choice Requires="wps">
            <w:drawing>
              <wp:anchor distT="0" distB="0" distL="114300" distR="114300" simplePos="0" relativeHeight="251654144" behindDoc="0" locked="0" layoutInCell="1" allowOverlap="1">
                <wp:simplePos x="0" y="0"/>
                <wp:positionH relativeFrom="column">
                  <wp:posOffset>5600700</wp:posOffset>
                </wp:positionH>
                <wp:positionV relativeFrom="paragraph">
                  <wp:posOffset>280035</wp:posOffset>
                </wp:positionV>
                <wp:extent cx="1028700" cy="1028700"/>
                <wp:effectExtent l="0" t="3810" r="0" b="0"/>
                <wp:wrapTight wrapText="bothSides">
                  <wp:wrapPolygon edited="0">
                    <wp:start x="0" y="0"/>
                    <wp:lineTo x="21600" y="0"/>
                    <wp:lineTo x="21600" y="21600"/>
                    <wp:lineTo x="0" y="21600"/>
                    <wp:lineTo x="0" y="0"/>
                  </wp:wrapPolygon>
                </wp:wrapTight>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2BE3" w:rsidRDefault="00CC2BE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441pt;margin-top:22.05pt;width:81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" stroked="f">
                <v:textbox inset=",7.2pt,,7.2pt">
                  <w:txbxContent>
                    <w:p w:rsidR="00CC2BE3" w:rsidRDefault="00CC2BE3"/>
                  </w:txbxContent>
                </v:textbox>
                <w10:wrap type="tight"/>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5600700</wp:posOffset>
                </wp:positionH>
                <wp:positionV relativeFrom="paragraph">
                  <wp:posOffset>280035</wp:posOffset>
                </wp:positionV>
                <wp:extent cx="1028700" cy="914400"/>
                <wp:effectExtent l="0" t="3810" r="0" b="0"/>
                <wp:wrapTight wrapText="bothSides">
                  <wp:wrapPolygon edited="0">
                    <wp:start x="0" y="0"/>
                    <wp:lineTo x="21600" y="0"/>
                    <wp:lineTo x="21600" y="21600"/>
                    <wp:lineTo x="0" y="21600"/>
                    <wp:lineTo x="0" y="0"/>
                  </wp:wrapPolygon>
                </wp:wrapTight>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2BE3" w:rsidRDefault="00CC2BE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left:0;text-align:left;margin-left:441pt;margin-top:22.05pt;width:81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" filled="f" stroked="f">
                <v:textbox inset=",7.2pt,,7.2pt">
                  <w:txbxContent>
                    <w:p w:rsidR="00CC2BE3" w:rsidRDefault="00CC2BE3"/>
                  </w:txbxContent>
                </v:textbox>
                <w10:wrap type="tight"/>
              </v:shape>
            </w:pict>
          </mc:Fallback>
        </mc:AlternateContent>
      </w:r>
    </w:p>
    <w:p w:rsidR="00DC269A" w:rsidRDefault="00DC269A" w:rsidP="00BF5653">
      <w:pPr>
        <w:jc w:val="right"/>
      </w:pPr>
    </w:p>
    <w:p w:rsidR="00DC269A" w:rsidRDefault="00DC269A" w:rsidP="00BF5653">
      <w:pPr>
        <w:jc w:val="right"/>
      </w:pPr>
    </w:p>
    <w:p w:rsidR="00DC269A" w:rsidRDefault="00DC269A" w:rsidP="00BF5653">
      <w:pPr>
        <w:jc w:val="right"/>
      </w:pPr>
    </w:p>
    <w:p w:rsidR="00EA0602" w:rsidRDefault="00EA0602" w:rsidP="00BF5653">
      <w:pPr>
        <w:rPr>
          <w:rStyle w:val="SubtleReference1"/>
          <w:rFonts w:ascii="Cambria" w:hAnsi="Cambria"/>
          <w:iCs/>
          <w:color w:val="auto"/>
        </w:rPr>
      </w:pPr>
    </w:p>
    <w:p w:rsidR="00BF5653" w:rsidRPr="00074652" w:rsidRDefault="00BF5653" w:rsidP="00BF5653">
      <w:r w:rsidRPr="00074652">
        <w:rPr>
          <w:rStyle w:val="SubtleReference1"/>
          <w:rFonts w:ascii="Cambria" w:hAnsi="Cambria"/>
          <w:iCs/>
          <w:color w:val="auto"/>
        </w:rPr>
        <w:t xml:space="preserve">Source: </w:t>
      </w:r>
      <w:r w:rsidRPr="00074652">
        <w:rPr>
          <w:rStyle w:val="SubtleReference1"/>
          <w:rFonts w:ascii="Cambria" w:hAnsi="Cambria"/>
          <w:i w:val="0"/>
          <w:iCs/>
          <w:color w:val="auto"/>
        </w:rPr>
        <w:t xml:space="preserve">Hospital Industry Data Institute discharge data, 2002-2009. Assessing the Health of Our Communities. Missouri Hospital Association, 2010. </w:t>
      </w:r>
    </w:p>
    <w:p w:rsidR="00BF5653" w:rsidRPr="00074652" w:rsidRDefault="00BF5653" w:rsidP="00BF5653">
      <w:pPr>
        <w:pStyle w:val="Heading5"/>
        <w:rPr>
          <w:color w:val="auto"/>
        </w:rPr>
      </w:pPr>
      <w:r w:rsidRPr="00074652">
        <w:rPr>
          <w:color w:val="auto"/>
        </w:rPr>
        <w:t>Discussion</w:t>
      </w:r>
    </w:p>
    <w:p w:rsidR="00BF5653" w:rsidRPr="0089408B" w:rsidRDefault="00BF5653" w:rsidP="00BF5653">
      <w:r w:rsidRPr="0089408B">
        <w:t>Preventable hospitalizations indicate a lack of high quality primary and preventive care</w:t>
      </w:r>
      <w:r w:rsidR="00C77B62" w:rsidRPr="0089408B">
        <w:t>,</w:t>
      </w:r>
      <w:r w:rsidRPr="0089408B">
        <w:t xml:space="preserve"> and may pinpoint areas in the health care system where potential improvements can be made.</w:t>
      </w:r>
      <w:r w:rsidRPr="0089408B">
        <w:rPr>
          <w:rStyle w:val="FootnoteReference"/>
        </w:rPr>
        <w:footnoteReference w:id="25"/>
      </w:r>
      <w:r w:rsidRPr="0089408B">
        <w:t xml:space="preserve">  These hospitalizations may be avoided if clinicians effectively diagnose, treat, and educate patients; and, the patients are active participants in their care and adopt healthy behaviors.</w:t>
      </w:r>
      <w:r w:rsidRPr="0089408B">
        <w:rPr>
          <w:vertAlign w:val="superscript"/>
        </w:rPr>
        <w:t>26</w:t>
      </w:r>
      <w:r w:rsidRPr="0089408B">
        <w:t xml:space="preserve"> </w:t>
      </w:r>
      <w:r w:rsidR="004C7617" w:rsidRPr="0089408B">
        <w:t>From 2005 to 2007 there was a steady</w:t>
      </w:r>
      <w:r w:rsidR="00FC0970" w:rsidRPr="0089408B">
        <w:t xml:space="preserve"> decline in preventable hospitalizations </w:t>
      </w:r>
      <w:r w:rsidRPr="0089408B">
        <w:t xml:space="preserve">indicating that primary and preventive care </w:t>
      </w:r>
      <w:r w:rsidR="0089408B" w:rsidRPr="0089408B">
        <w:t>improved</w:t>
      </w:r>
      <w:r w:rsidR="00C77B62" w:rsidRPr="0089408B">
        <w:t xml:space="preserve"> </w:t>
      </w:r>
      <w:r w:rsidRPr="0089408B">
        <w:t xml:space="preserve">for </w:t>
      </w:r>
      <w:r w:rsidR="004C7617" w:rsidRPr="0089408B">
        <w:t>Linn</w:t>
      </w:r>
      <w:r w:rsidR="00976323" w:rsidRPr="0089408B">
        <w:t xml:space="preserve"> County. </w:t>
      </w:r>
      <w:r w:rsidRPr="0089408B">
        <w:t>The chronic and acute conditions th</w:t>
      </w:r>
      <w:r w:rsidR="000C681F" w:rsidRPr="0089408B">
        <w:t>at are detailed in F</w:t>
      </w:r>
      <w:r w:rsidR="00183184" w:rsidRPr="0089408B">
        <w:t>igure 2.9</w:t>
      </w:r>
      <w:r w:rsidRPr="0089408B">
        <w:t xml:space="preserve"> are those that can most likely be effectively managed in an outpatient or primary care setting.  Thus, when the numbers in these measures trend </w:t>
      </w:r>
      <w:r w:rsidR="0089408B" w:rsidRPr="0089408B">
        <w:t>upward or remain too high, the possibility</w:t>
      </w:r>
      <w:r w:rsidRPr="0089408B">
        <w:t xml:space="preserve"> may arise to identify opportunities that can prevent complications, reduce disease severity, control healthcare costs, and improve population health.</w:t>
      </w:r>
      <w:r w:rsidRPr="0089408B">
        <w:rPr>
          <w:rStyle w:val="FootnoteReference"/>
        </w:rPr>
        <w:footnoteReference w:id="26"/>
      </w:r>
      <w:r w:rsidR="00C77B62" w:rsidRPr="0089408B">
        <w:t xml:space="preserve"> </w:t>
      </w:r>
    </w:p>
    <w:p w:rsidR="00BF5653" w:rsidRDefault="00BF5653" w:rsidP="00BF5653"/>
    <w:p w:rsidR="00DC269A" w:rsidRDefault="00DC269A" w:rsidP="00BF5653"/>
    <w:p w:rsidR="00DC269A" w:rsidRDefault="00DC269A" w:rsidP="00BF5653"/>
    <w:p w:rsidR="00DC269A" w:rsidRDefault="00DC269A" w:rsidP="00BF5653"/>
    <w:p w:rsidR="00DC269A" w:rsidRDefault="00DC269A" w:rsidP="00BF5653"/>
    <w:p w:rsidR="00DC269A" w:rsidRPr="00074652" w:rsidRDefault="00DC269A" w:rsidP="00BF5653"/>
    <w:p w:rsidR="00547764" w:rsidRPr="00183184" w:rsidRDefault="00BF5653" w:rsidP="00183184">
      <w:pPr>
        <w:pStyle w:val="Heading3"/>
        <w:rPr>
          <w:rStyle w:val="SubtleReference1"/>
          <w:rFonts w:ascii="Cambria" w:hAnsi="Cambria"/>
          <w:i w:val="0"/>
          <w:color w:val="auto"/>
          <w:lang w:val="en-US"/>
        </w:rPr>
      </w:pPr>
      <w:bookmarkStart w:id="85" w:name="_Toc292981211"/>
      <w:bookmarkStart w:id="86" w:name="_Toc318638280"/>
      <w:bookmarkStart w:id="87" w:name="_Toc229126468"/>
      <w:r w:rsidRPr="00074652">
        <w:rPr>
          <w:color w:val="auto"/>
        </w:rPr>
        <w:lastRenderedPageBreak/>
        <w:t>Health Behaviors – Figure 2.</w:t>
      </w:r>
      <w:bookmarkEnd w:id="85"/>
      <w:r>
        <w:rPr>
          <w:color w:val="auto"/>
        </w:rPr>
        <w:t>9</w:t>
      </w:r>
      <w:bookmarkEnd w:id="86"/>
      <w:bookmarkEnd w:id="87"/>
    </w:p>
    <w:p w:rsidR="00547764" w:rsidRDefault="00FA23ED" w:rsidP="00BF5653">
      <w:pPr>
        <w:rPr>
          <w:rStyle w:val="SubtleReference1"/>
          <w:rFonts w:ascii="Cambria" w:hAnsi="Cambria"/>
          <w:iCs/>
          <w:color w:val="auto"/>
        </w:rPr>
      </w:pPr>
      <w:r>
        <w:rPr>
          <w:noProof/>
        </w:rPr>
        <w:drawing>
          <wp:anchor distT="0" distB="0" distL="114300" distR="114300" simplePos="0" relativeHeight="251655168" behindDoc="1" locked="0" layoutInCell="1" allowOverlap="1">
            <wp:simplePos x="0" y="0"/>
            <wp:positionH relativeFrom="column">
              <wp:posOffset>114300</wp:posOffset>
            </wp:positionH>
            <wp:positionV relativeFrom="paragraph">
              <wp:posOffset>-9525</wp:posOffset>
            </wp:positionV>
            <wp:extent cx="5689600" cy="3535680"/>
            <wp:effectExtent l="19050" t="19050" r="25400" b="26670"/>
            <wp:wrapNone/>
            <wp:docPr id="75" name="Picture 75" descr="Screen Shot 2013-01-07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creen Shot 2013-01-07 at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9600" cy="353568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47764" w:rsidRDefault="00547764" w:rsidP="00BF5653">
      <w:pPr>
        <w:rPr>
          <w:rStyle w:val="SubtleReference1"/>
          <w:rFonts w:ascii="Cambria" w:hAnsi="Cambria"/>
          <w:iCs/>
          <w:color w:val="auto"/>
        </w:rPr>
      </w:pPr>
    </w:p>
    <w:p w:rsidR="00547764" w:rsidRDefault="00547764" w:rsidP="00BF5653">
      <w:pPr>
        <w:rPr>
          <w:rStyle w:val="SubtleReference1"/>
          <w:rFonts w:ascii="Cambria" w:hAnsi="Cambria"/>
          <w:iCs/>
          <w:color w:val="auto"/>
        </w:rPr>
      </w:pPr>
    </w:p>
    <w:p w:rsidR="00547764" w:rsidRDefault="00547764" w:rsidP="00BF5653">
      <w:pPr>
        <w:rPr>
          <w:rStyle w:val="SubtleReference1"/>
          <w:rFonts w:ascii="Cambria" w:hAnsi="Cambria"/>
          <w:iCs/>
          <w:color w:val="auto"/>
        </w:rPr>
      </w:pPr>
    </w:p>
    <w:p w:rsidR="00547764" w:rsidRDefault="00547764" w:rsidP="00BF5653">
      <w:pPr>
        <w:rPr>
          <w:rStyle w:val="SubtleReference1"/>
          <w:rFonts w:ascii="Cambria" w:hAnsi="Cambria"/>
          <w:iCs/>
          <w:color w:val="auto"/>
        </w:rPr>
      </w:pPr>
    </w:p>
    <w:p w:rsidR="00547764" w:rsidRDefault="00547764" w:rsidP="00BF5653">
      <w:pPr>
        <w:rPr>
          <w:rStyle w:val="SubtleReference1"/>
          <w:rFonts w:ascii="Cambria" w:hAnsi="Cambria"/>
          <w:iCs/>
          <w:color w:val="auto"/>
        </w:rPr>
      </w:pPr>
    </w:p>
    <w:p w:rsidR="00183184" w:rsidRDefault="00183184" w:rsidP="00BF5653">
      <w:pPr>
        <w:rPr>
          <w:rStyle w:val="SubtleReference1"/>
          <w:rFonts w:ascii="Cambria" w:hAnsi="Cambria"/>
          <w:iCs/>
          <w:color w:val="auto"/>
        </w:rPr>
      </w:pPr>
    </w:p>
    <w:p w:rsidR="00183184" w:rsidRDefault="00183184" w:rsidP="00BF5653">
      <w:pPr>
        <w:rPr>
          <w:rStyle w:val="SubtleReference1"/>
          <w:rFonts w:ascii="Cambria" w:hAnsi="Cambria"/>
          <w:iCs/>
          <w:color w:val="auto"/>
        </w:rPr>
      </w:pPr>
    </w:p>
    <w:p w:rsidR="00183184" w:rsidRDefault="00183184" w:rsidP="00BF5653">
      <w:pPr>
        <w:rPr>
          <w:rStyle w:val="SubtleReference1"/>
          <w:rFonts w:ascii="Cambria" w:hAnsi="Cambria"/>
          <w:iCs/>
          <w:color w:val="auto"/>
        </w:rPr>
      </w:pPr>
    </w:p>
    <w:p w:rsidR="00183184" w:rsidRDefault="00183184" w:rsidP="00BF5653">
      <w:pPr>
        <w:rPr>
          <w:rStyle w:val="SubtleReference1"/>
          <w:rFonts w:ascii="Cambria" w:hAnsi="Cambria"/>
          <w:iCs/>
          <w:color w:val="auto"/>
        </w:rPr>
      </w:pPr>
    </w:p>
    <w:p w:rsidR="00530818" w:rsidRDefault="00530818" w:rsidP="00BF5653">
      <w:pPr>
        <w:rPr>
          <w:rStyle w:val="SubtleReference1"/>
          <w:rFonts w:ascii="Cambria" w:hAnsi="Cambria"/>
          <w:iCs/>
          <w:color w:val="auto"/>
        </w:rPr>
      </w:pPr>
    </w:p>
    <w:p w:rsidR="00530818" w:rsidRDefault="00530818" w:rsidP="00BF5653">
      <w:pPr>
        <w:rPr>
          <w:rStyle w:val="SubtleReference1"/>
          <w:rFonts w:ascii="Cambria" w:hAnsi="Cambria"/>
          <w:iCs/>
          <w:color w:val="auto"/>
        </w:rPr>
      </w:pPr>
    </w:p>
    <w:p w:rsidR="00BF5653" w:rsidRPr="00074652" w:rsidRDefault="00BF5653" w:rsidP="00BF5653">
      <w:pPr>
        <w:rPr>
          <w:rStyle w:val="Hyperlink"/>
          <w:color w:val="auto"/>
        </w:rPr>
      </w:pPr>
      <w:r w:rsidRPr="00074652">
        <w:rPr>
          <w:rStyle w:val="SubtleReference1"/>
          <w:rFonts w:ascii="Cambria" w:hAnsi="Cambria"/>
          <w:iCs/>
          <w:color w:val="auto"/>
        </w:rPr>
        <w:t>Source</w:t>
      </w:r>
      <w:r w:rsidRPr="00074652">
        <w:t xml:space="preserve">: </w:t>
      </w:r>
      <w:r w:rsidR="00547764" w:rsidRPr="00074652">
        <w:rPr>
          <w:rStyle w:val="SubtleReference1"/>
          <w:rFonts w:ascii="Cambria" w:hAnsi="Cambria"/>
          <w:i w:val="0"/>
          <w:iCs/>
          <w:color w:val="auto"/>
        </w:rPr>
        <w:t>Hospital Industry Dat</w:t>
      </w:r>
      <w:r w:rsidR="00547764">
        <w:rPr>
          <w:rStyle w:val="SubtleReference1"/>
          <w:rFonts w:ascii="Cambria" w:hAnsi="Cambria"/>
          <w:i w:val="0"/>
          <w:iCs/>
          <w:color w:val="auto"/>
        </w:rPr>
        <w:t>a Institute discharge data, 2004-2008</w:t>
      </w:r>
      <w:r w:rsidR="00547764" w:rsidRPr="00074652">
        <w:rPr>
          <w:rStyle w:val="SubtleReference1"/>
          <w:rFonts w:ascii="Cambria" w:hAnsi="Cambria"/>
          <w:i w:val="0"/>
          <w:iCs/>
          <w:color w:val="auto"/>
        </w:rPr>
        <w:t>. Assessing the Health of Our C</w:t>
      </w:r>
      <w:r w:rsidR="0032653A">
        <w:rPr>
          <w:rStyle w:val="SubtleReference1"/>
          <w:rFonts w:ascii="Cambria" w:hAnsi="Cambria"/>
          <w:i w:val="0"/>
          <w:iCs/>
          <w:color w:val="auto"/>
        </w:rPr>
        <w:t>ommunities,</w:t>
      </w:r>
      <w:r w:rsidR="00547764" w:rsidRPr="00074652">
        <w:rPr>
          <w:rStyle w:val="SubtleReference1"/>
          <w:rFonts w:ascii="Cambria" w:hAnsi="Cambria"/>
          <w:i w:val="0"/>
          <w:iCs/>
          <w:color w:val="auto"/>
        </w:rPr>
        <w:t xml:space="preserve"> Missouri Hospital Association, 2010.</w:t>
      </w:r>
    </w:p>
    <w:p w:rsidR="00BF5653" w:rsidRPr="00074652" w:rsidRDefault="00BF5653" w:rsidP="00BF5653">
      <w:pPr>
        <w:pStyle w:val="Heading5"/>
        <w:rPr>
          <w:color w:val="auto"/>
        </w:rPr>
      </w:pPr>
      <w:r w:rsidRPr="00074652">
        <w:rPr>
          <w:rStyle w:val="Hyperlink"/>
          <w:color w:val="auto"/>
          <w:u w:val="none"/>
        </w:rPr>
        <w:t>Discussion</w:t>
      </w:r>
    </w:p>
    <w:p w:rsidR="00BF5653" w:rsidRPr="009E11EC" w:rsidRDefault="00BF5653" w:rsidP="00BF5653">
      <w:r w:rsidRPr="009E11EC">
        <w:t xml:space="preserve">Figure 2.9 provides </w:t>
      </w:r>
      <w:r w:rsidR="00183184" w:rsidRPr="009E11EC">
        <w:t>a snapshot of the different Chronic and Acute conditions that factor into the number of preventable hospitalizations. The data set is generated using indicators from 2004 to 2008</w:t>
      </w:r>
      <w:r w:rsidR="00C77B62" w:rsidRPr="009E11EC">
        <w:t>,</w:t>
      </w:r>
      <w:r w:rsidR="00183184" w:rsidRPr="009E11EC">
        <w:t xml:space="preserve"> and as you c</w:t>
      </w:r>
      <w:r w:rsidR="00976323" w:rsidRPr="009E11EC">
        <w:t>an see from the chart</w:t>
      </w:r>
      <w:r w:rsidR="00C77B62" w:rsidRPr="009E11EC">
        <w:t>,</w:t>
      </w:r>
      <w:r w:rsidR="00976323" w:rsidRPr="009E11EC">
        <w:t xml:space="preserve"> Linn</w:t>
      </w:r>
      <w:r w:rsidR="00183184" w:rsidRPr="009E11EC">
        <w:t xml:space="preserve"> County has fluctuated both positively and negatively in several areas. The overall number in 2008 is very similar to that </w:t>
      </w:r>
      <w:r w:rsidR="009501B3" w:rsidRPr="009E11EC">
        <w:t>of 2004 and further data needs to be released in order to dete</w:t>
      </w:r>
      <w:r w:rsidR="00976323" w:rsidRPr="009E11EC">
        <w:t>rmine if this is a trend for Linn</w:t>
      </w:r>
      <w:r w:rsidR="009501B3" w:rsidRPr="009E11EC">
        <w:t xml:space="preserve"> County. </w:t>
      </w:r>
    </w:p>
    <w:p w:rsidR="00BF5653" w:rsidRDefault="00BF5653" w:rsidP="00BF5653"/>
    <w:p w:rsidR="00BF5653" w:rsidRDefault="00BF5653" w:rsidP="00BF5653"/>
    <w:p w:rsidR="00BF5653" w:rsidRDefault="00BF5653" w:rsidP="00BF5653"/>
    <w:p w:rsidR="00BF5653" w:rsidRDefault="00BF5653" w:rsidP="00BF5653"/>
    <w:p w:rsidR="00BF5653" w:rsidRDefault="00BF5653" w:rsidP="00BF5653"/>
    <w:p w:rsidR="00464299" w:rsidRDefault="00464299" w:rsidP="00BF5653"/>
    <w:p w:rsidR="005451EB" w:rsidRDefault="005451EB" w:rsidP="00BF5653"/>
    <w:p w:rsidR="00A63BE1" w:rsidRDefault="00A63BE1" w:rsidP="00BF5653"/>
    <w:p w:rsidR="00BF5653" w:rsidRPr="00074652" w:rsidRDefault="00BF5653" w:rsidP="00BF5653">
      <w:pPr>
        <w:pStyle w:val="Heading3"/>
        <w:rPr>
          <w:color w:val="auto"/>
        </w:rPr>
      </w:pPr>
      <w:bookmarkStart w:id="88" w:name="_Toc318638281"/>
      <w:bookmarkStart w:id="89" w:name="_Toc229126469"/>
      <w:r>
        <w:rPr>
          <w:color w:val="auto"/>
        </w:rPr>
        <w:lastRenderedPageBreak/>
        <w:t>Health Behaviors – Figure 2.10</w:t>
      </w:r>
      <w:bookmarkEnd w:id="88"/>
      <w:bookmarkEnd w:id="89"/>
    </w:p>
    <w:p w:rsidR="00D91D95" w:rsidRDefault="00FA23ED" w:rsidP="00BF5653">
      <w:pPr>
        <w:jc w:val="center"/>
        <w:rPr>
          <w:i/>
        </w:rPr>
      </w:pPr>
      <w:r>
        <w:rPr>
          <w:noProof/>
        </w:rPr>
        <w:drawing>
          <wp:anchor distT="14570" distB="21855" distL="129331" distR="136847" simplePos="0" relativeHeight="251656192" behindDoc="1" locked="0" layoutInCell="1" allowOverlap="1">
            <wp:simplePos x="0" y="0"/>
            <wp:positionH relativeFrom="column">
              <wp:posOffset>243631</wp:posOffset>
            </wp:positionH>
            <wp:positionV relativeFrom="paragraph">
              <wp:posOffset>5045</wp:posOffset>
            </wp:positionV>
            <wp:extent cx="5448300" cy="3277870"/>
            <wp:effectExtent l="19050" t="19050" r="19050" b="17780"/>
            <wp:wrapNone/>
            <wp:docPr id="7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BF5653">
        <w:rPr>
          <w:noProof/>
        </w:rPr>
        <w:br/>
      </w:r>
    </w:p>
    <w:p w:rsidR="00D91D95" w:rsidRDefault="00D91D95" w:rsidP="00BF5653">
      <w:pPr>
        <w:jc w:val="center"/>
        <w:rPr>
          <w:i/>
        </w:rPr>
      </w:pPr>
    </w:p>
    <w:p w:rsidR="00D91D95" w:rsidRDefault="00D91D95" w:rsidP="00BF5653">
      <w:pPr>
        <w:jc w:val="center"/>
        <w:rPr>
          <w:i/>
        </w:rPr>
      </w:pPr>
    </w:p>
    <w:p w:rsidR="00D91D95" w:rsidRDefault="00D91D95" w:rsidP="00BF5653">
      <w:pPr>
        <w:jc w:val="center"/>
        <w:rPr>
          <w:i/>
        </w:rPr>
      </w:pPr>
    </w:p>
    <w:p w:rsidR="00D91D95" w:rsidRDefault="00D91D95" w:rsidP="00BF5653">
      <w:pPr>
        <w:jc w:val="center"/>
        <w:rPr>
          <w:i/>
        </w:rPr>
      </w:pPr>
    </w:p>
    <w:p w:rsidR="00D91D95" w:rsidRDefault="00D91D95" w:rsidP="00BF5653">
      <w:pPr>
        <w:jc w:val="center"/>
        <w:rPr>
          <w:i/>
        </w:rPr>
      </w:pPr>
    </w:p>
    <w:p w:rsidR="00D91D95" w:rsidRDefault="00D91D95" w:rsidP="00BF5653">
      <w:pPr>
        <w:jc w:val="center"/>
        <w:rPr>
          <w:i/>
        </w:rPr>
      </w:pPr>
    </w:p>
    <w:p w:rsidR="00D91D95" w:rsidRDefault="00D91D95" w:rsidP="00BF5653">
      <w:pPr>
        <w:jc w:val="center"/>
        <w:rPr>
          <w:i/>
        </w:rPr>
      </w:pPr>
    </w:p>
    <w:p w:rsidR="00D91D95" w:rsidRDefault="00D91D95" w:rsidP="00BF5653">
      <w:pPr>
        <w:jc w:val="center"/>
        <w:rPr>
          <w:i/>
        </w:rPr>
      </w:pPr>
    </w:p>
    <w:p w:rsidR="00D91D95" w:rsidRDefault="00D91D95" w:rsidP="00BF5653">
      <w:pPr>
        <w:jc w:val="center"/>
        <w:rPr>
          <w:i/>
        </w:rPr>
      </w:pPr>
    </w:p>
    <w:p w:rsidR="00D91D95" w:rsidRDefault="00D91D95" w:rsidP="00BF5653">
      <w:pPr>
        <w:jc w:val="center"/>
        <w:rPr>
          <w:i/>
        </w:rPr>
      </w:pPr>
    </w:p>
    <w:p w:rsidR="00BF5653" w:rsidRPr="00D91D95" w:rsidRDefault="00BF5653" w:rsidP="00D91D95">
      <w:pPr>
        <w:rPr>
          <w:u w:val="single"/>
        </w:rPr>
      </w:pPr>
      <w:r w:rsidRPr="00DC3379">
        <w:rPr>
          <w:i/>
        </w:rPr>
        <w:t xml:space="preserve">Source: </w:t>
      </w:r>
      <w:r w:rsidR="00170F1A" w:rsidRPr="00170F1A">
        <w:t>http://www.clrsearch.com/Sitemap/Missouri/Li</w:t>
      </w:r>
      <w:r w:rsidR="000C1B36">
        <w:t>nn</w:t>
      </w:r>
      <w:r w:rsidR="00170F1A" w:rsidRPr="00170F1A">
        <w:t>_County</w:t>
      </w:r>
      <w:r w:rsidR="00170F1A">
        <w:t xml:space="preserve"> </w:t>
      </w:r>
    </w:p>
    <w:p w:rsidR="00BF5653" w:rsidRPr="00566CB3" w:rsidRDefault="00BF5653" w:rsidP="00BF5653">
      <w:pPr>
        <w:jc w:val="center"/>
      </w:pPr>
      <w:r w:rsidRPr="00566CB3">
        <w:t>DISCUSSION</w:t>
      </w:r>
    </w:p>
    <w:p w:rsidR="000C1B36" w:rsidRPr="009E11EC" w:rsidRDefault="000C1B36" w:rsidP="000C1B36">
      <w:pPr>
        <w:rPr>
          <w:u w:val="single"/>
        </w:rPr>
      </w:pPr>
      <w:r w:rsidRPr="009E11EC">
        <w:t>The crime index offenses described in Figure 2.10 are a combined figure of seven individual crimes that make up the annual crime index per 1,000 residents.  The seven crimes consist of murder, rape, robbery, assault, burglary, larceny, and motor vehicle theft.  The crime index is a measure of the overall safety within a community and is a key issue because it impacts various other health factors and outcomes.</w:t>
      </w:r>
      <w:r w:rsidRPr="009E11EC">
        <w:rPr>
          <w:rStyle w:val="FootnoteReference"/>
        </w:rPr>
        <w:footnoteReference w:id="27"/>
      </w:r>
      <w:r w:rsidRPr="009E11EC">
        <w:t xml:space="preserve">  Violence against others is a major public health problem and accounts for 18,000 lives each year in the U.S. Exposure to community violence is shown to increase stress, smoking, and can be associated with substance abuse and risky sexual behavior.</w:t>
      </w:r>
      <w:r w:rsidRPr="009E11EC">
        <w:rPr>
          <w:rStyle w:val="FootnoteReference"/>
        </w:rPr>
        <w:footnoteReference w:id="28"/>
      </w:r>
      <w:r w:rsidRPr="009E11EC">
        <w:t xml:space="preserve">  As seen in Figure 2.10 we can see that Linn County’s crime index is well below both Missouri and U.S. indices</w:t>
      </w:r>
      <w:r w:rsidR="00C77B62" w:rsidRPr="009E11EC">
        <w:t>,</w:t>
      </w:r>
      <w:r w:rsidRPr="009E11EC">
        <w:t xml:space="preserve"> although assault and burglary are closer </w:t>
      </w:r>
      <w:r w:rsidR="009E11EC" w:rsidRPr="009E11EC">
        <w:t>to</w:t>
      </w:r>
      <w:r w:rsidR="00C77B62" w:rsidRPr="009E11EC">
        <w:t xml:space="preserve"> </w:t>
      </w:r>
      <w:r w:rsidRPr="009E11EC">
        <w:t>the national average. While Linn County continues to be below the average, community safety is a major contributor to overall health and should be kept under close supervision.</w:t>
      </w:r>
    </w:p>
    <w:p w:rsidR="00BF5653" w:rsidRPr="00074652" w:rsidRDefault="00BF5653" w:rsidP="00BF5653"/>
    <w:p w:rsidR="00BF5653" w:rsidRPr="00074652" w:rsidRDefault="00BF5653" w:rsidP="00BF5653">
      <w:pPr>
        <w:pStyle w:val="Heading2"/>
        <w:pBdr>
          <w:bottom w:val="single" w:sz="4" w:space="2" w:color="4D2828"/>
        </w:pBdr>
        <w:rPr>
          <w:color w:val="auto"/>
        </w:rPr>
      </w:pPr>
      <w:r w:rsidRPr="00074652">
        <w:rPr>
          <w:color w:val="auto"/>
        </w:rPr>
        <w:br w:type="page"/>
      </w:r>
      <w:bookmarkStart w:id="90" w:name="_Toc292981212"/>
      <w:bookmarkStart w:id="91" w:name="_Toc318638282"/>
      <w:bookmarkStart w:id="92" w:name="_Toc229126470"/>
      <w:r w:rsidR="00CB3218">
        <w:rPr>
          <w:color w:val="auto"/>
        </w:rPr>
        <w:lastRenderedPageBreak/>
        <w:t>Adolescen</w:t>
      </w:r>
      <w:r w:rsidR="00CB3218">
        <w:rPr>
          <w:color w:val="auto"/>
          <w:lang w:val="en-US"/>
        </w:rPr>
        <w:t>t, Teen, and</w:t>
      </w:r>
      <w:r w:rsidRPr="00074652">
        <w:rPr>
          <w:color w:val="auto"/>
        </w:rPr>
        <w:t xml:space="preserve"> </w:t>
      </w:r>
      <w:r w:rsidR="00CB3218">
        <w:rPr>
          <w:color w:val="auto"/>
          <w:lang w:val="en-US"/>
        </w:rPr>
        <w:t>Infant</w:t>
      </w:r>
      <w:r w:rsidRPr="00074652">
        <w:rPr>
          <w:color w:val="auto"/>
        </w:rPr>
        <w:t xml:space="preserve"> Health</w:t>
      </w:r>
      <w:bookmarkEnd w:id="90"/>
      <w:bookmarkEnd w:id="91"/>
      <w:bookmarkEnd w:id="92"/>
    </w:p>
    <w:p w:rsidR="00BF5653" w:rsidRPr="00074652" w:rsidRDefault="00FA23ED" w:rsidP="00BF5653">
      <w:pPr>
        <w:pStyle w:val="Heading3"/>
        <w:rPr>
          <w:color w:val="auto"/>
        </w:rPr>
      </w:pPr>
      <w:bookmarkStart w:id="93" w:name="_Toc292981213"/>
      <w:bookmarkStart w:id="94" w:name="_Toc318638283"/>
      <w:bookmarkStart w:id="95" w:name="_Toc229126471"/>
      <w:r>
        <w:rPr>
          <w:noProof/>
          <w:lang w:val="en-US" w:eastAsia="en-US"/>
        </w:rPr>
        <w:drawing>
          <wp:anchor distT="13063" distB="19594" distL="126956" distR="134866" simplePos="0" relativeHeight="251657216" behindDoc="1" locked="0" layoutInCell="1" allowOverlap="1">
            <wp:simplePos x="0" y="0"/>
            <wp:positionH relativeFrom="column">
              <wp:posOffset>241256</wp:posOffset>
            </wp:positionH>
            <wp:positionV relativeFrom="paragraph">
              <wp:posOffset>340088</wp:posOffset>
            </wp:positionV>
            <wp:extent cx="5338445" cy="2938780"/>
            <wp:effectExtent l="19050" t="19050" r="14605" b="13970"/>
            <wp:wrapNone/>
            <wp:docPr id="7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BF5653" w:rsidRPr="00074652">
        <w:rPr>
          <w:color w:val="auto"/>
        </w:rPr>
        <w:t>Figure 2.</w:t>
      </w:r>
      <w:bookmarkEnd w:id="93"/>
      <w:r w:rsidR="00BF5653">
        <w:rPr>
          <w:color w:val="auto"/>
        </w:rPr>
        <w:t>11</w:t>
      </w:r>
      <w:bookmarkEnd w:id="94"/>
      <w:bookmarkEnd w:id="95"/>
    </w:p>
    <w:p w:rsidR="00BF5653" w:rsidRPr="00074652" w:rsidRDefault="00325FB8" w:rsidP="00325FB8">
      <w:pPr>
        <w:tabs>
          <w:tab w:val="left" w:pos="400"/>
        </w:tabs>
      </w:pPr>
      <w:r>
        <w:tab/>
      </w:r>
    </w:p>
    <w:p w:rsidR="00BA48D9" w:rsidRDefault="00BA48D9" w:rsidP="00BF5653">
      <w:pPr>
        <w:rPr>
          <w:rStyle w:val="SubtleReference1"/>
          <w:rFonts w:ascii="Cambria" w:hAnsi="Cambria"/>
          <w:i w:val="0"/>
          <w:iCs/>
          <w:color w:val="auto"/>
        </w:rPr>
      </w:pPr>
    </w:p>
    <w:p w:rsidR="00BA48D9" w:rsidRDefault="00BA48D9" w:rsidP="00BF5653">
      <w:pPr>
        <w:rPr>
          <w:rStyle w:val="SubtleReference1"/>
          <w:rFonts w:ascii="Cambria" w:hAnsi="Cambria"/>
          <w:i w:val="0"/>
          <w:iCs/>
          <w:color w:val="auto"/>
        </w:rPr>
      </w:pPr>
    </w:p>
    <w:p w:rsidR="00BA48D9" w:rsidRDefault="00BA48D9" w:rsidP="00BF5653">
      <w:pPr>
        <w:rPr>
          <w:rStyle w:val="SubtleReference1"/>
          <w:rFonts w:ascii="Cambria" w:hAnsi="Cambria"/>
          <w:i w:val="0"/>
          <w:iCs/>
          <w:color w:val="auto"/>
        </w:rPr>
      </w:pPr>
    </w:p>
    <w:p w:rsidR="00BA48D9" w:rsidRDefault="00BA48D9" w:rsidP="00BF5653">
      <w:pPr>
        <w:rPr>
          <w:rStyle w:val="SubtleReference1"/>
          <w:rFonts w:ascii="Cambria" w:hAnsi="Cambria"/>
          <w:i w:val="0"/>
          <w:iCs/>
          <w:color w:val="auto"/>
        </w:rPr>
      </w:pPr>
    </w:p>
    <w:p w:rsidR="00BA48D9" w:rsidRDefault="00BA48D9" w:rsidP="00BF5653">
      <w:pPr>
        <w:rPr>
          <w:rStyle w:val="SubtleReference1"/>
          <w:rFonts w:ascii="Cambria" w:hAnsi="Cambria"/>
          <w:i w:val="0"/>
          <w:iCs/>
          <w:color w:val="auto"/>
        </w:rPr>
      </w:pPr>
    </w:p>
    <w:p w:rsidR="00BA48D9" w:rsidRDefault="00BA48D9" w:rsidP="00BF5653">
      <w:pPr>
        <w:rPr>
          <w:rStyle w:val="SubtleReference1"/>
          <w:rFonts w:ascii="Cambria" w:hAnsi="Cambria"/>
          <w:i w:val="0"/>
          <w:iCs/>
          <w:color w:val="auto"/>
        </w:rPr>
      </w:pPr>
    </w:p>
    <w:p w:rsidR="00BA48D9" w:rsidRDefault="00BA48D9" w:rsidP="00BF5653">
      <w:pPr>
        <w:rPr>
          <w:rStyle w:val="SubtleReference1"/>
          <w:rFonts w:ascii="Cambria" w:hAnsi="Cambria"/>
          <w:i w:val="0"/>
          <w:iCs/>
          <w:color w:val="auto"/>
        </w:rPr>
      </w:pPr>
    </w:p>
    <w:p w:rsidR="00BA48D9" w:rsidRDefault="00BA48D9" w:rsidP="00BF5653">
      <w:pPr>
        <w:rPr>
          <w:rStyle w:val="SubtleReference1"/>
          <w:rFonts w:ascii="Cambria" w:hAnsi="Cambria"/>
          <w:i w:val="0"/>
          <w:iCs/>
          <w:color w:val="auto"/>
        </w:rPr>
      </w:pPr>
    </w:p>
    <w:p w:rsidR="00BA48D9" w:rsidRDefault="00BA48D9" w:rsidP="00BF5653">
      <w:pPr>
        <w:rPr>
          <w:rStyle w:val="SubtleReference1"/>
          <w:rFonts w:ascii="Cambria" w:hAnsi="Cambria"/>
          <w:i w:val="0"/>
          <w:iCs/>
          <w:color w:val="auto"/>
        </w:rPr>
      </w:pPr>
    </w:p>
    <w:p w:rsidR="00BF5653" w:rsidRPr="00074652" w:rsidRDefault="00BF5653" w:rsidP="00BF5653">
      <w:pPr>
        <w:rPr>
          <w:rStyle w:val="SubtleReference1"/>
          <w:rFonts w:ascii="Cambria" w:hAnsi="Cambria"/>
          <w:iCs/>
          <w:color w:val="auto"/>
        </w:rPr>
      </w:pPr>
      <w:r w:rsidRPr="00074652">
        <w:rPr>
          <w:rStyle w:val="SubtleReference1"/>
          <w:rFonts w:ascii="Cambria" w:hAnsi="Cambria"/>
          <w:i w:val="0"/>
          <w:iCs/>
          <w:color w:val="auto"/>
        </w:rPr>
        <w:t>Percent of kindergarteners fully immunized of the 4:3:1:3:3 series by age two.</w:t>
      </w:r>
      <w:r w:rsidRPr="00074652">
        <w:rPr>
          <w:rStyle w:val="SubtleReference1"/>
          <w:rFonts w:ascii="Cambria" w:hAnsi="Cambria"/>
          <w:iCs/>
          <w:color w:val="auto"/>
        </w:rPr>
        <w:t xml:space="preserve">  Source: </w:t>
      </w:r>
      <w:hyperlink r:id="rId26" w:history="1">
        <w:r w:rsidRPr="00074652">
          <w:rPr>
            <w:rStyle w:val="Hyperlink"/>
            <w:color w:val="auto"/>
          </w:rPr>
          <w:t>www.kidscount.org</w:t>
        </w:r>
      </w:hyperlink>
    </w:p>
    <w:p w:rsidR="00BF5653" w:rsidRPr="00074652" w:rsidRDefault="00FA23ED" w:rsidP="00BF5653">
      <w:pPr>
        <w:pStyle w:val="Heading3"/>
        <w:rPr>
          <w:color w:val="auto"/>
        </w:rPr>
      </w:pPr>
      <w:bookmarkStart w:id="96" w:name="_Toc292981214"/>
      <w:bookmarkStart w:id="97" w:name="_Toc318638284"/>
      <w:bookmarkStart w:id="98" w:name="_Toc229126472"/>
      <w:r>
        <w:rPr>
          <w:noProof/>
          <w:lang w:val="en-US" w:eastAsia="en-US"/>
        </w:rPr>
        <w:drawing>
          <wp:anchor distT="13063" distB="19594" distL="127332" distR="130590" simplePos="0" relativeHeight="251658240" behindDoc="1" locked="0" layoutInCell="1" allowOverlap="1">
            <wp:simplePos x="0" y="0"/>
            <wp:positionH relativeFrom="column">
              <wp:posOffset>127332</wp:posOffset>
            </wp:positionH>
            <wp:positionV relativeFrom="paragraph">
              <wp:posOffset>348978</wp:posOffset>
            </wp:positionV>
            <wp:extent cx="5456555" cy="2938780"/>
            <wp:effectExtent l="19050" t="19050" r="10795" b="13970"/>
            <wp:wrapThrough wrapText="bothSides">
              <wp:wrapPolygon edited="0">
                <wp:start x="-75" y="-140"/>
                <wp:lineTo x="-75" y="21563"/>
                <wp:lineTo x="21567" y="21563"/>
                <wp:lineTo x="21567" y="-140"/>
                <wp:lineTo x="-75" y="-140"/>
              </wp:wrapPolygon>
            </wp:wrapThrough>
            <wp:docPr id="7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BF5653" w:rsidRPr="00074652">
        <w:rPr>
          <w:color w:val="auto"/>
        </w:rPr>
        <w:t>Figure 2.</w:t>
      </w:r>
      <w:bookmarkEnd w:id="96"/>
      <w:r w:rsidR="00BF5653">
        <w:rPr>
          <w:color w:val="auto"/>
        </w:rPr>
        <w:t>12</w:t>
      </w:r>
      <w:bookmarkEnd w:id="97"/>
      <w:bookmarkEnd w:id="98"/>
    </w:p>
    <w:p w:rsidR="00BF5653" w:rsidRPr="00074652" w:rsidRDefault="004E0DCC" w:rsidP="004E0DCC">
      <w:pPr>
        <w:tabs>
          <w:tab w:val="left" w:pos="240"/>
        </w:tabs>
      </w:pPr>
      <w:r>
        <w:tab/>
      </w:r>
    </w:p>
    <w:p w:rsidR="0084396F" w:rsidRDefault="0084396F" w:rsidP="00BF5653">
      <w:pPr>
        <w:rPr>
          <w:rStyle w:val="SubtleReference1"/>
          <w:rFonts w:ascii="Cambria" w:hAnsi="Cambria"/>
          <w:i w:val="0"/>
          <w:iCs/>
          <w:color w:val="auto"/>
        </w:rPr>
      </w:pPr>
    </w:p>
    <w:p w:rsidR="0084396F" w:rsidRDefault="0084396F" w:rsidP="00BF5653">
      <w:pPr>
        <w:rPr>
          <w:rStyle w:val="SubtleReference1"/>
          <w:rFonts w:ascii="Cambria" w:hAnsi="Cambria"/>
          <w:i w:val="0"/>
          <w:iCs/>
          <w:color w:val="auto"/>
        </w:rPr>
      </w:pPr>
    </w:p>
    <w:p w:rsidR="0084396F" w:rsidRDefault="0084396F" w:rsidP="00BF5653">
      <w:pPr>
        <w:rPr>
          <w:rStyle w:val="SubtleReference1"/>
          <w:rFonts w:ascii="Cambria" w:hAnsi="Cambria"/>
          <w:i w:val="0"/>
          <w:iCs/>
          <w:color w:val="auto"/>
        </w:rPr>
      </w:pPr>
    </w:p>
    <w:p w:rsidR="0084396F" w:rsidRDefault="0084396F" w:rsidP="00BF5653">
      <w:pPr>
        <w:rPr>
          <w:rStyle w:val="SubtleReference1"/>
          <w:rFonts w:ascii="Cambria" w:hAnsi="Cambria"/>
          <w:i w:val="0"/>
          <w:iCs/>
          <w:color w:val="auto"/>
        </w:rPr>
      </w:pPr>
    </w:p>
    <w:p w:rsidR="0084396F" w:rsidRDefault="0084396F" w:rsidP="00BF5653">
      <w:pPr>
        <w:rPr>
          <w:rStyle w:val="SubtleReference1"/>
          <w:rFonts w:ascii="Cambria" w:hAnsi="Cambria"/>
          <w:i w:val="0"/>
          <w:iCs/>
          <w:color w:val="auto"/>
        </w:rPr>
      </w:pPr>
    </w:p>
    <w:p w:rsidR="0084396F" w:rsidRDefault="0084396F" w:rsidP="00BF5653">
      <w:pPr>
        <w:rPr>
          <w:rStyle w:val="SubtleReference1"/>
          <w:rFonts w:ascii="Cambria" w:hAnsi="Cambria"/>
          <w:i w:val="0"/>
          <w:iCs/>
          <w:color w:val="auto"/>
        </w:rPr>
      </w:pPr>
    </w:p>
    <w:p w:rsidR="0084396F" w:rsidRDefault="0084396F" w:rsidP="00BF5653">
      <w:pPr>
        <w:rPr>
          <w:rStyle w:val="SubtleReference1"/>
          <w:rFonts w:ascii="Cambria" w:hAnsi="Cambria"/>
          <w:i w:val="0"/>
          <w:iCs/>
          <w:color w:val="auto"/>
        </w:rPr>
      </w:pPr>
    </w:p>
    <w:p w:rsidR="0084396F" w:rsidRDefault="0084396F" w:rsidP="00BF5653">
      <w:pPr>
        <w:rPr>
          <w:rStyle w:val="SubtleReference1"/>
          <w:rFonts w:ascii="Cambria" w:hAnsi="Cambria"/>
          <w:i w:val="0"/>
          <w:iCs/>
          <w:color w:val="auto"/>
        </w:rPr>
      </w:pPr>
    </w:p>
    <w:p w:rsidR="0084396F" w:rsidRDefault="0084396F" w:rsidP="00BF5653">
      <w:pPr>
        <w:rPr>
          <w:rStyle w:val="SubtleReference1"/>
          <w:rFonts w:ascii="Cambria" w:hAnsi="Cambria"/>
          <w:i w:val="0"/>
          <w:iCs/>
          <w:color w:val="auto"/>
        </w:rPr>
      </w:pPr>
    </w:p>
    <w:p w:rsidR="00BF5653" w:rsidRPr="00074652" w:rsidRDefault="0084396F" w:rsidP="00BF5653">
      <w:pPr>
        <w:rPr>
          <w:rStyle w:val="SubtleReference1"/>
          <w:rFonts w:ascii="Cambria" w:hAnsi="Cambria"/>
          <w:iCs/>
          <w:color w:val="auto"/>
        </w:rPr>
      </w:pPr>
      <w:r w:rsidRPr="00074652">
        <w:rPr>
          <w:rStyle w:val="SubtleReference1"/>
          <w:rFonts w:ascii="Cambria" w:hAnsi="Cambria"/>
          <w:i w:val="0"/>
          <w:iCs/>
          <w:color w:val="auto"/>
        </w:rPr>
        <w:t>Percent</w:t>
      </w:r>
      <w:r>
        <w:rPr>
          <w:rStyle w:val="SubtleReference1"/>
          <w:rFonts w:ascii="Cambria" w:hAnsi="Cambria"/>
          <w:i w:val="0"/>
          <w:iCs/>
          <w:color w:val="auto"/>
        </w:rPr>
        <w:t>age</w:t>
      </w:r>
      <w:r w:rsidRPr="00074652">
        <w:rPr>
          <w:rStyle w:val="SubtleReference1"/>
          <w:rFonts w:ascii="Cambria" w:hAnsi="Cambria"/>
          <w:i w:val="0"/>
          <w:iCs/>
          <w:color w:val="auto"/>
        </w:rPr>
        <w:t>s of children 18 and under that are</w:t>
      </w:r>
      <w:r w:rsidR="00C10C82">
        <w:rPr>
          <w:rStyle w:val="SubtleReference1"/>
          <w:rFonts w:ascii="Cambria" w:hAnsi="Cambria"/>
          <w:i w:val="0"/>
          <w:iCs/>
          <w:color w:val="auto"/>
        </w:rPr>
        <w:t xml:space="preserve"> from low-income families and enrolled in the Missouri Children’</w:t>
      </w:r>
      <w:r>
        <w:rPr>
          <w:rStyle w:val="SubtleReference1"/>
          <w:rFonts w:ascii="Cambria" w:hAnsi="Cambria"/>
          <w:i w:val="0"/>
          <w:iCs/>
          <w:color w:val="auto"/>
        </w:rPr>
        <w:t>s Health Insurance Program MO HealthNet for Kids</w:t>
      </w:r>
      <w:r w:rsidR="00BF5653" w:rsidRPr="00074652">
        <w:rPr>
          <w:rStyle w:val="SubtleReference1"/>
          <w:rFonts w:ascii="Cambria" w:hAnsi="Cambria"/>
          <w:i w:val="0"/>
          <w:iCs/>
          <w:color w:val="auto"/>
        </w:rPr>
        <w:t xml:space="preserve">.  </w:t>
      </w:r>
      <w:r w:rsidR="00BF5653" w:rsidRPr="00074652">
        <w:rPr>
          <w:rStyle w:val="SubtleReference1"/>
          <w:rFonts w:ascii="Cambria" w:hAnsi="Cambria"/>
          <w:iCs/>
          <w:color w:val="auto"/>
        </w:rPr>
        <w:t xml:space="preserve">Source: </w:t>
      </w:r>
      <w:hyperlink r:id="rId28" w:history="1">
        <w:r w:rsidR="00BF5653" w:rsidRPr="00074652">
          <w:rPr>
            <w:rStyle w:val="Hyperlink"/>
            <w:color w:val="auto"/>
          </w:rPr>
          <w:t>www.kidscount.org</w:t>
        </w:r>
      </w:hyperlink>
    </w:p>
    <w:p w:rsidR="00BF5653" w:rsidRPr="00074652" w:rsidRDefault="00FA23ED" w:rsidP="00BF5653">
      <w:pPr>
        <w:pStyle w:val="Heading3"/>
        <w:rPr>
          <w:color w:val="auto"/>
        </w:rPr>
      </w:pPr>
      <w:bookmarkStart w:id="99" w:name="_Toc292981215"/>
      <w:bookmarkStart w:id="100" w:name="_Toc318638285"/>
      <w:bookmarkStart w:id="101" w:name="_Toc229126473"/>
      <w:r>
        <w:rPr>
          <w:rFonts w:cs="Calibri"/>
          <w:noProof/>
          <w:lang w:val="en-US" w:eastAsia="en-US"/>
        </w:rPr>
        <w:lastRenderedPageBreak/>
        <w:drawing>
          <wp:anchor distT="12560" distB="18841" distL="127061" distR="130251" simplePos="0" relativeHeight="251659264" behindDoc="1" locked="0" layoutInCell="1" allowOverlap="1">
            <wp:simplePos x="0" y="0"/>
            <wp:positionH relativeFrom="column">
              <wp:posOffset>355661</wp:posOffset>
            </wp:positionH>
            <wp:positionV relativeFrom="paragraph">
              <wp:posOffset>355460</wp:posOffset>
            </wp:positionV>
            <wp:extent cx="5342890" cy="2825750"/>
            <wp:effectExtent l="19050" t="19050" r="10160" b="12700"/>
            <wp:wrapThrough wrapText="bothSides">
              <wp:wrapPolygon edited="0">
                <wp:start x="-77" y="-146"/>
                <wp:lineTo x="-77" y="21551"/>
                <wp:lineTo x="21564" y="21551"/>
                <wp:lineTo x="21564" y="-146"/>
                <wp:lineTo x="-77" y="-146"/>
              </wp:wrapPolygon>
            </wp:wrapThrough>
            <wp:docPr id="7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BF5653" w:rsidRPr="00074652">
        <w:rPr>
          <w:color w:val="auto"/>
        </w:rPr>
        <w:t>Figure 2.1</w:t>
      </w:r>
      <w:bookmarkEnd w:id="99"/>
      <w:r w:rsidR="00BF5653">
        <w:rPr>
          <w:color w:val="auto"/>
        </w:rPr>
        <w:t>3</w:t>
      </w:r>
      <w:bookmarkEnd w:id="100"/>
      <w:bookmarkEnd w:id="101"/>
    </w:p>
    <w:p w:rsidR="00BF5653" w:rsidRPr="00074652" w:rsidRDefault="00BF5653" w:rsidP="00BF5653">
      <w:pPr>
        <w:rPr>
          <w:rFonts w:cs="Calibri"/>
        </w:rPr>
      </w:pPr>
    </w:p>
    <w:p w:rsidR="00682236" w:rsidRDefault="00682236" w:rsidP="00BF5653">
      <w:pPr>
        <w:rPr>
          <w:rFonts w:cs="Calibri"/>
        </w:rPr>
      </w:pPr>
    </w:p>
    <w:p w:rsidR="00682236" w:rsidRDefault="00682236" w:rsidP="00BF5653">
      <w:pPr>
        <w:rPr>
          <w:rFonts w:cs="Calibri"/>
        </w:rPr>
      </w:pPr>
    </w:p>
    <w:p w:rsidR="00682236" w:rsidRDefault="00682236" w:rsidP="00BF5653">
      <w:pPr>
        <w:rPr>
          <w:rFonts w:cs="Calibri"/>
        </w:rPr>
      </w:pPr>
    </w:p>
    <w:p w:rsidR="00682236" w:rsidRDefault="00682236" w:rsidP="00BF5653">
      <w:pPr>
        <w:rPr>
          <w:rFonts w:cs="Calibri"/>
        </w:rPr>
      </w:pPr>
    </w:p>
    <w:p w:rsidR="00682236" w:rsidRDefault="00682236" w:rsidP="00BF5653">
      <w:pPr>
        <w:rPr>
          <w:rFonts w:cs="Calibri"/>
        </w:rPr>
      </w:pPr>
    </w:p>
    <w:p w:rsidR="00682236" w:rsidRDefault="00682236" w:rsidP="00BF5653">
      <w:pPr>
        <w:rPr>
          <w:rFonts w:cs="Calibri"/>
        </w:rPr>
      </w:pPr>
    </w:p>
    <w:p w:rsidR="00682236" w:rsidRDefault="00682236" w:rsidP="00BF5653">
      <w:pPr>
        <w:rPr>
          <w:rFonts w:cs="Calibri"/>
        </w:rPr>
      </w:pPr>
    </w:p>
    <w:p w:rsidR="00682236" w:rsidRDefault="00682236" w:rsidP="00BF5653">
      <w:pPr>
        <w:rPr>
          <w:rFonts w:cs="Calibri"/>
        </w:rPr>
      </w:pPr>
    </w:p>
    <w:p w:rsidR="00682236" w:rsidRDefault="00682236" w:rsidP="00BF5653">
      <w:pPr>
        <w:rPr>
          <w:rFonts w:cs="Calibri"/>
        </w:rPr>
      </w:pPr>
    </w:p>
    <w:p w:rsidR="00BF5653" w:rsidRPr="00074652" w:rsidRDefault="00BF5653" w:rsidP="00BF5653">
      <w:pPr>
        <w:rPr>
          <w:rStyle w:val="SubtleReference1"/>
          <w:rFonts w:ascii="Cambria" w:hAnsi="Cambria" w:cs="Calibri"/>
          <w:iCs/>
          <w:color w:val="auto"/>
        </w:rPr>
      </w:pPr>
      <w:r w:rsidRPr="00074652">
        <w:rPr>
          <w:rFonts w:cs="Calibri"/>
        </w:rPr>
        <w:t xml:space="preserve">Percent of live births weighing under 5.5 lbs.  </w:t>
      </w:r>
      <w:r w:rsidRPr="00074652">
        <w:rPr>
          <w:rStyle w:val="SubtleReference1"/>
          <w:rFonts w:ascii="Cambria" w:hAnsi="Cambria" w:cs="Calibri"/>
          <w:iCs/>
          <w:color w:val="auto"/>
        </w:rPr>
        <w:t xml:space="preserve">Source: </w:t>
      </w:r>
      <w:hyperlink r:id="rId30" w:history="1">
        <w:r w:rsidRPr="00074652">
          <w:rPr>
            <w:rStyle w:val="Hyperlink"/>
            <w:rFonts w:cs="Calibri"/>
            <w:color w:val="auto"/>
          </w:rPr>
          <w:t>www.kidscount.org</w:t>
        </w:r>
      </w:hyperlink>
    </w:p>
    <w:p w:rsidR="00BF5653" w:rsidRPr="00074652" w:rsidRDefault="00FA23ED" w:rsidP="00BF5653">
      <w:pPr>
        <w:pStyle w:val="Heading3"/>
        <w:rPr>
          <w:rFonts w:cs="Calibri"/>
          <w:color w:val="auto"/>
        </w:rPr>
      </w:pPr>
      <w:bookmarkStart w:id="102" w:name="_Toc292981216"/>
      <w:bookmarkStart w:id="103" w:name="_Toc318638286"/>
      <w:bookmarkStart w:id="104" w:name="_Toc229126474"/>
      <w:r>
        <w:rPr>
          <w:rFonts w:cs="Calibri"/>
          <w:noProof/>
          <w:lang w:val="en-US" w:eastAsia="en-US"/>
        </w:rPr>
        <w:drawing>
          <wp:anchor distT="13063" distB="19594" distL="127031" distR="132998" simplePos="0" relativeHeight="251660288" behindDoc="1" locked="0" layoutInCell="1" allowOverlap="1">
            <wp:simplePos x="0" y="0"/>
            <wp:positionH relativeFrom="column">
              <wp:posOffset>355631</wp:posOffset>
            </wp:positionH>
            <wp:positionV relativeFrom="paragraph">
              <wp:posOffset>372473</wp:posOffset>
            </wp:positionV>
            <wp:extent cx="5340350" cy="2938780"/>
            <wp:effectExtent l="19050" t="19050" r="12700" b="13970"/>
            <wp:wrapThrough wrapText="bothSides">
              <wp:wrapPolygon edited="0">
                <wp:start x="-77" y="-140"/>
                <wp:lineTo x="-77" y="21563"/>
                <wp:lineTo x="21574" y="21563"/>
                <wp:lineTo x="21574" y="-140"/>
                <wp:lineTo x="-77" y="-140"/>
              </wp:wrapPolygon>
            </wp:wrapThrough>
            <wp:docPr id="8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BF5653" w:rsidRPr="00074652">
        <w:rPr>
          <w:rFonts w:cs="Calibri"/>
          <w:color w:val="auto"/>
        </w:rPr>
        <w:t>Figure 2.1</w:t>
      </w:r>
      <w:bookmarkEnd w:id="102"/>
      <w:r w:rsidR="00BF5653">
        <w:rPr>
          <w:rFonts w:cs="Calibri"/>
          <w:color w:val="auto"/>
        </w:rPr>
        <w:t>4</w:t>
      </w:r>
      <w:bookmarkEnd w:id="103"/>
      <w:bookmarkEnd w:id="104"/>
    </w:p>
    <w:p w:rsidR="00BF5653" w:rsidRPr="00074652" w:rsidRDefault="00BF5653" w:rsidP="00BF5653">
      <w:pPr>
        <w:rPr>
          <w:rFonts w:cs="Calibri"/>
        </w:rPr>
      </w:pPr>
    </w:p>
    <w:p w:rsidR="00682236" w:rsidRDefault="00682236" w:rsidP="00BF5653">
      <w:pPr>
        <w:rPr>
          <w:rStyle w:val="SubtleReference1"/>
          <w:rFonts w:ascii="Cambria" w:hAnsi="Cambria" w:cs="Calibri"/>
          <w:i w:val="0"/>
          <w:iCs/>
          <w:color w:val="auto"/>
        </w:rPr>
      </w:pPr>
    </w:p>
    <w:p w:rsidR="00682236" w:rsidRDefault="00682236" w:rsidP="00BF5653">
      <w:pPr>
        <w:rPr>
          <w:rStyle w:val="SubtleReference1"/>
          <w:rFonts w:ascii="Cambria" w:hAnsi="Cambria" w:cs="Calibri"/>
          <w:i w:val="0"/>
          <w:iCs/>
          <w:color w:val="auto"/>
        </w:rPr>
      </w:pPr>
    </w:p>
    <w:p w:rsidR="00682236" w:rsidRDefault="00682236" w:rsidP="00BF5653">
      <w:pPr>
        <w:rPr>
          <w:rStyle w:val="SubtleReference1"/>
          <w:rFonts w:ascii="Cambria" w:hAnsi="Cambria" w:cs="Calibri"/>
          <w:i w:val="0"/>
          <w:iCs/>
          <w:color w:val="auto"/>
        </w:rPr>
      </w:pPr>
    </w:p>
    <w:p w:rsidR="00682236" w:rsidRDefault="00682236" w:rsidP="00BF5653">
      <w:pPr>
        <w:rPr>
          <w:rStyle w:val="SubtleReference1"/>
          <w:rFonts w:ascii="Cambria" w:hAnsi="Cambria" w:cs="Calibri"/>
          <w:i w:val="0"/>
          <w:iCs/>
          <w:color w:val="auto"/>
        </w:rPr>
      </w:pPr>
    </w:p>
    <w:p w:rsidR="00682236" w:rsidRDefault="00682236" w:rsidP="00BF5653">
      <w:pPr>
        <w:rPr>
          <w:rStyle w:val="SubtleReference1"/>
          <w:rFonts w:ascii="Cambria" w:hAnsi="Cambria" w:cs="Calibri"/>
          <w:i w:val="0"/>
          <w:iCs/>
          <w:color w:val="auto"/>
        </w:rPr>
      </w:pPr>
    </w:p>
    <w:p w:rsidR="00682236" w:rsidRDefault="00682236" w:rsidP="00BF5653">
      <w:pPr>
        <w:rPr>
          <w:rStyle w:val="SubtleReference1"/>
          <w:rFonts w:ascii="Cambria" w:hAnsi="Cambria" w:cs="Calibri"/>
          <w:i w:val="0"/>
          <w:iCs/>
          <w:color w:val="auto"/>
        </w:rPr>
      </w:pPr>
    </w:p>
    <w:p w:rsidR="00682236" w:rsidRDefault="00682236" w:rsidP="00BF5653">
      <w:pPr>
        <w:rPr>
          <w:rStyle w:val="SubtleReference1"/>
          <w:rFonts w:ascii="Cambria" w:hAnsi="Cambria" w:cs="Calibri"/>
          <w:i w:val="0"/>
          <w:iCs/>
          <w:color w:val="auto"/>
        </w:rPr>
      </w:pPr>
    </w:p>
    <w:p w:rsidR="00682236" w:rsidRDefault="00682236" w:rsidP="00BF5653">
      <w:pPr>
        <w:rPr>
          <w:rStyle w:val="SubtleReference1"/>
          <w:rFonts w:ascii="Cambria" w:hAnsi="Cambria" w:cs="Calibri"/>
          <w:i w:val="0"/>
          <w:iCs/>
          <w:color w:val="auto"/>
        </w:rPr>
      </w:pPr>
    </w:p>
    <w:p w:rsidR="00682236" w:rsidRDefault="00682236" w:rsidP="00BF5653">
      <w:pPr>
        <w:rPr>
          <w:rStyle w:val="SubtleReference1"/>
          <w:rFonts w:ascii="Cambria" w:hAnsi="Cambria" w:cs="Calibri"/>
          <w:i w:val="0"/>
          <w:iCs/>
          <w:color w:val="auto"/>
        </w:rPr>
      </w:pPr>
    </w:p>
    <w:p w:rsidR="00BF5653" w:rsidRPr="00074652" w:rsidRDefault="00BF5653" w:rsidP="00BF5653">
      <w:pPr>
        <w:rPr>
          <w:rStyle w:val="SubtleReference1"/>
          <w:rFonts w:ascii="Cambria" w:hAnsi="Cambria" w:cs="Calibri"/>
          <w:iCs/>
          <w:color w:val="auto"/>
        </w:rPr>
      </w:pPr>
      <w:r w:rsidRPr="00074652">
        <w:rPr>
          <w:rStyle w:val="SubtleReference1"/>
          <w:rFonts w:ascii="Cambria" w:hAnsi="Cambria" w:cs="Calibri"/>
          <w:i w:val="0"/>
          <w:iCs/>
          <w:color w:val="auto"/>
        </w:rPr>
        <w:t xml:space="preserve">Number of deaths, under age 1, per 1,000 live births.  </w:t>
      </w:r>
      <w:r w:rsidRPr="00074652">
        <w:rPr>
          <w:rStyle w:val="SubtleReference1"/>
          <w:rFonts w:ascii="Cambria" w:hAnsi="Cambria" w:cs="Calibri"/>
          <w:iCs/>
          <w:color w:val="auto"/>
        </w:rPr>
        <w:t xml:space="preserve">Source: </w:t>
      </w:r>
      <w:hyperlink r:id="rId32" w:history="1">
        <w:r w:rsidRPr="00074652">
          <w:rPr>
            <w:rStyle w:val="Hyperlink"/>
            <w:rFonts w:cs="Calibri"/>
            <w:color w:val="auto"/>
          </w:rPr>
          <w:t>www.kidscount.org</w:t>
        </w:r>
      </w:hyperlink>
    </w:p>
    <w:p w:rsidR="00BF5653" w:rsidRPr="00074652" w:rsidRDefault="00BF5653" w:rsidP="00BF5653">
      <w:pPr>
        <w:rPr>
          <w:rFonts w:cs="Calibri"/>
        </w:rPr>
      </w:pPr>
    </w:p>
    <w:p w:rsidR="00BF5653" w:rsidRPr="00074652" w:rsidRDefault="00BF5653" w:rsidP="00BF5653">
      <w:pPr>
        <w:rPr>
          <w:rFonts w:cs="Calibri"/>
        </w:rPr>
      </w:pPr>
    </w:p>
    <w:p w:rsidR="00BF5653" w:rsidRPr="00074652" w:rsidRDefault="00BF5653" w:rsidP="00BF5653">
      <w:pPr>
        <w:rPr>
          <w:rFonts w:cs="Calibri"/>
        </w:rPr>
      </w:pPr>
    </w:p>
    <w:p w:rsidR="00BF5653" w:rsidRPr="00074652" w:rsidRDefault="00FA23ED" w:rsidP="00BF5653">
      <w:pPr>
        <w:pStyle w:val="Heading3"/>
        <w:rPr>
          <w:rFonts w:cs="Calibri"/>
          <w:color w:val="auto"/>
        </w:rPr>
      </w:pPr>
      <w:bookmarkStart w:id="105" w:name="_Toc292981217"/>
      <w:bookmarkStart w:id="106" w:name="_Toc318638287"/>
      <w:bookmarkStart w:id="107" w:name="_Toc229126475"/>
      <w:r>
        <w:rPr>
          <w:rFonts w:cs="Calibri"/>
          <w:noProof/>
          <w:lang w:val="en-US" w:eastAsia="en-US"/>
        </w:rPr>
        <w:lastRenderedPageBreak/>
        <w:drawing>
          <wp:anchor distT="12058" distB="18087" distL="127061" distR="130251" simplePos="0" relativeHeight="251661312" behindDoc="1" locked="0" layoutInCell="1" allowOverlap="1">
            <wp:simplePos x="0" y="0"/>
            <wp:positionH relativeFrom="column">
              <wp:posOffset>241361</wp:posOffset>
            </wp:positionH>
            <wp:positionV relativeFrom="paragraph">
              <wp:posOffset>354958</wp:posOffset>
            </wp:positionV>
            <wp:extent cx="5342890" cy="2712720"/>
            <wp:effectExtent l="19050" t="19050" r="10160" b="11430"/>
            <wp:wrapThrough wrapText="bothSides">
              <wp:wrapPolygon edited="0">
                <wp:start x="-77" y="-152"/>
                <wp:lineTo x="-77" y="21539"/>
                <wp:lineTo x="21564" y="21539"/>
                <wp:lineTo x="21564" y="-152"/>
                <wp:lineTo x="-77" y="-152"/>
              </wp:wrapPolygon>
            </wp:wrapThrough>
            <wp:docPr id="8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BF5653" w:rsidRPr="00074652">
        <w:rPr>
          <w:rFonts w:cs="Calibri"/>
          <w:color w:val="auto"/>
        </w:rPr>
        <w:t>Figure 2.1</w:t>
      </w:r>
      <w:bookmarkEnd w:id="105"/>
      <w:r w:rsidR="00BF5653">
        <w:rPr>
          <w:rFonts w:cs="Calibri"/>
          <w:color w:val="auto"/>
        </w:rPr>
        <w:t>5</w:t>
      </w:r>
      <w:bookmarkEnd w:id="106"/>
      <w:bookmarkEnd w:id="107"/>
    </w:p>
    <w:p w:rsidR="00BF5653" w:rsidRPr="00074652" w:rsidRDefault="00BF5653" w:rsidP="00BF5653">
      <w:pPr>
        <w:rPr>
          <w:rFonts w:cs="Calibri"/>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BF5653" w:rsidRPr="00074652" w:rsidRDefault="00BF5653" w:rsidP="00BF5653">
      <w:pPr>
        <w:rPr>
          <w:rStyle w:val="SubtleReference1"/>
          <w:rFonts w:ascii="Cambria" w:hAnsi="Cambria" w:cs="Calibri"/>
          <w:iCs/>
          <w:color w:val="auto"/>
        </w:rPr>
      </w:pPr>
      <w:r w:rsidRPr="00074652">
        <w:rPr>
          <w:rStyle w:val="SubtleReference1"/>
          <w:rFonts w:ascii="Cambria" w:hAnsi="Cambria" w:cs="Calibri"/>
          <w:i w:val="0"/>
          <w:iCs/>
          <w:color w:val="auto"/>
        </w:rPr>
        <w:t xml:space="preserve">Number per 100,000 of 15- to 19-year-olds who died due to suicide, homicide, or motor vehicle accident.  </w:t>
      </w:r>
      <w:r w:rsidRPr="00074652">
        <w:rPr>
          <w:rStyle w:val="SubtleReference1"/>
          <w:rFonts w:ascii="Cambria" w:hAnsi="Cambria" w:cs="Calibri"/>
          <w:iCs/>
          <w:color w:val="auto"/>
        </w:rPr>
        <w:t xml:space="preserve">Source: </w:t>
      </w:r>
      <w:hyperlink r:id="rId34" w:history="1">
        <w:r w:rsidRPr="00074652">
          <w:rPr>
            <w:rStyle w:val="Hyperlink"/>
            <w:rFonts w:cs="Calibri"/>
            <w:color w:val="auto"/>
          </w:rPr>
          <w:t>www.kidscount.org</w:t>
        </w:r>
      </w:hyperlink>
    </w:p>
    <w:p w:rsidR="00BF5653" w:rsidRPr="00074652" w:rsidRDefault="00FA23ED" w:rsidP="00BF5653">
      <w:pPr>
        <w:pStyle w:val="Heading3"/>
        <w:rPr>
          <w:rFonts w:cs="Calibri"/>
          <w:color w:val="auto"/>
        </w:rPr>
      </w:pPr>
      <w:bookmarkStart w:id="108" w:name="_Toc292981218"/>
      <w:bookmarkStart w:id="109" w:name="_Toc318638288"/>
      <w:bookmarkStart w:id="110" w:name="_Toc229126476"/>
      <w:r>
        <w:rPr>
          <w:rFonts w:cs="Calibri"/>
          <w:noProof/>
          <w:lang w:val="en-US" w:eastAsia="en-US"/>
        </w:rPr>
        <w:drawing>
          <wp:anchor distT="12558" distB="18836" distL="126999" distR="135730" simplePos="0" relativeHeight="251662336" behindDoc="1" locked="0" layoutInCell="1" allowOverlap="1">
            <wp:simplePos x="0" y="0"/>
            <wp:positionH relativeFrom="column">
              <wp:posOffset>241299</wp:posOffset>
            </wp:positionH>
            <wp:positionV relativeFrom="paragraph">
              <wp:posOffset>428483</wp:posOffset>
            </wp:positionV>
            <wp:extent cx="5337810" cy="2825115"/>
            <wp:effectExtent l="19050" t="19050" r="15240" b="13335"/>
            <wp:wrapThrough wrapText="bothSides">
              <wp:wrapPolygon edited="0">
                <wp:start x="-77" y="-146"/>
                <wp:lineTo x="-77" y="21556"/>
                <wp:lineTo x="21585" y="21556"/>
                <wp:lineTo x="21585" y="-146"/>
                <wp:lineTo x="-77" y="-146"/>
              </wp:wrapPolygon>
            </wp:wrapThrough>
            <wp:docPr id="8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BF5653" w:rsidRPr="00074652">
        <w:rPr>
          <w:rFonts w:cs="Calibri"/>
          <w:color w:val="auto"/>
        </w:rPr>
        <w:t>Figure 2.1</w:t>
      </w:r>
      <w:bookmarkEnd w:id="108"/>
      <w:r w:rsidR="00BF5653">
        <w:rPr>
          <w:rFonts w:cs="Calibri"/>
          <w:color w:val="auto"/>
        </w:rPr>
        <w:t>6</w:t>
      </w:r>
      <w:bookmarkEnd w:id="109"/>
      <w:bookmarkEnd w:id="110"/>
    </w:p>
    <w:p w:rsidR="00BF5653" w:rsidRPr="00074652" w:rsidRDefault="00BF5653" w:rsidP="00BF5653">
      <w:pPr>
        <w:rPr>
          <w:rFonts w:cs="Calibri"/>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9F216A" w:rsidRDefault="009F216A" w:rsidP="00BF5653">
      <w:pPr>
        <w:rPr>
          <w:rStyle w:val="SubtleReference1"/>
          <w:rFonts w:ascii="Cambria" w:hAnsi="Cambria" w:cs="Calibri"/>
          <w:i w:val="0"/>
          <w:iCs/>
          <w:color w:val="auto"/>
        </w:rPr>
      </w:pPr>
    </w:p>
    <w:p w:rsidR="00BF5653" w:rsidRPr="00074652" w:rsidRDefault="009F216A" w:rsidP="00BF5653">
      <w:pPr>
        <w:rPr>
          <w:rFonts w:cs="Calibri"/>
        </w:rPr>
      </w:pPr>
      <w:r w:rsidRPr="009F216A">
        <w:t>Percentage of related children under age 18 who live in families with incomes below the U.S. poverty threshold</w:t>
      </w:r>
      <w:r>
        <w:t>.</w:t>
      </w:r>
      <w:r>
        <w:rPr>
          <w:rFonts w:ascii="Arial" w:hAnsi="Arial" w:cs="Arial"/>
          <w:sz w:val="20"/>
          <w:szCs w:val="20"/>
          <w:lang w:val="en"/>
        </w:rPr>
        <w:t xml:space="preserve"> </w:t>
      </w:r>
      <w:r w:rsidR="00BF5653" w:rsidRPr="00074652">
        <w:rPr>
          <w:rStyle w:val="SubtleReference1"/>
          <w:rFonts w:ascii="Cambria" w:hAnsi="Cambria" w:cs="Calibri"/>
          <w:iCs/>
          <w:color w:val="auto"/>
        </w:rPr>
        <w:t xml:space="preserve">Source: </w:t>
      </w:r>
      <w:hyperlink r:id="rId36" w:history="1">
        <w:r w:rsidR="00BF5653" w:rsidRPr="00074652">
          <w:rPr>
            <w:rStyle w:val="Hyperlink"/>
            <w:rFonts w:cs="Calibri"/>
            <w:color w:val="auto"/>
          </w:rPr>
          <w:t>www.kidscount.org</w:t>
        </w:r>
      </w:hyperlink>
    </w:p>
    <w:p w:rsidR="00BF5653" w:rsidRPr="00074652" w:rsidRDefault="00BF5653" w:rsidP="00BF5653"/>
    <w:p w:rsidR="00BF5653" w:rsidRPr="00074652" w:rsidRDefault="00BF5653" w:rsidP="00BF5653"/>
    <w:p w:rsidR="00BF5653" w:rsidRPr="00074652" w:rsidRDefault="00FA23ED" w:rsidP="00BF5653">
      <w:pPr>
        <w:pStyle w:val="Heading3"/>
        <w:rPr>
          <w:color w:val="auto"/>
        </w:rPr>
      </w:pPr>
      <w:bookmarkStart w:id="111" w:name="_Toc292981219"/>
      <w:bookmarkStart w:id="112" w:name="_Toc318638289"/>
      <w:bookmarkStart w:id="113" w:name="_Toc229126477"/>
      <w:r>
        <w:rPr>
          <w:noProof/>
          <w:lang w:val="en-US" w:eastAsia="en-US"/>
        </w:rPr>
        <w:lastRenderedPageBreak/>
        <w:drawing>
          <wp:anchor distT="12560" distB="18841" distL="127061" distR="130251" simplePos="0" relativeHeight="251663360" behindDoc="1" locked="0" layoutInCell="1" allowOverlap="1">
            <wp:simplePos x="0" y="0"/>
            <wp:positionH relativeFrom="column">
              <wp:posOffset>241361</wp:posOffset>
            </wp:positionH>
            <wp:positionV relativeFrom="paragraph">
              <wp:posOffset>355460</wp:posOffset>
            </wp:positionV>
            <wp:extent cx="5342890" cy="2825750"/>
            <wp:effectExtent l="19050" t="19050" r="10160" b="12700"/>
            <wp:wrapThrough wrapText="bothSides">
              <wp:wrapPolygon edited="0">
                <wp:start x="-77" y="-146"/>
                <wp:lineTo x="-77" y="21551"/>
                <wp:lineTo x="21564" y="21551"/>
                <wp:lineTo x="21564" y="-146"/>
                <wp:lineTo x="-77" y="-146"/>
              </wp:wrapPolygon>
            </wp:wrapThrough>
            <wp:docPr id="8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00BF5653" w:rsidRPr="00074652">
        <w:rPr>
          <w:color w:val="auto"/>
        </w:rPr>
        <w:t>Figure 2.1</w:t>
      </w:r>
      <w:bookmarkEnd w:id="111"/>
      <w:r w:rsidR="00BF5653">
        <w:rPr>
          <w:color w:val="auto"/>
        </w:rPr>
        <w:t>7</w:t>
      </w:r>
      <w:bookmarkEnd w:id="112"/>
      <w:bookmarkEnd w:id="113"/>
    </w:p>
    <w:p w:rsidR="00BF5653" w:rsidRPr="00074652" w:rsidRDefault="00BF5653" w:rsidP="00BF5653"/>
    <w:p w:rsidR="00CB3218" w:rsidRDefault="00CB3218" w:rsidP="00BF5653">
      <w:pPr>
        <w:rPr>
          <w:rFonts w:cs="Arial"/>
          <w:lang w:val="en"/>
        </w:rPr>
      </w:pPr>
    </w:p>
    <w:p w:rsidR="00CB3218" w:rsidRDefault="00CB3218" w:rsidP="00BF5653">
      <w:pPr>
        <w:rPr>
          <w:rFonts w:cs="Arial"/>
          <w:lang w:val="en"/>
        </w:rPr>
      </w:pPr>
    </w:p>
    <w:p w:rsidR="00CB3218" w:rsidRDefault="00CB3218" w:rsidP="00BF5653">
      <w:pPr>
        <w:rPr>
          <w:rFonts w:cs="Arial"/>
          <w:lang w:val="en"/>
        </w:rPr>
      </w:pPr>
    </w:p>
    <w:p w:rsidR="00CB3218" w:rsidRDefault="00CB3218" w:rsidP="00BF5653">
      <w:pPr>
        <w:rPr>
          <w:rFonts w:cs="Arial"/>
          <w:lang w:val="en"/>
        </w:rPr>
      </w:pPr>
    </w:p>
    <w:p w:rsidR="00CB3218" w:rsidRDefault="00CB3218" w:rsidP="00BF5653">
      <w:pPr>
        <w:rPr>
          <w:rFonts w:cs="Arial"/>
          <w:lang w:val="en"/>
        </w:rPr>
      </w:pPr>
    </w:p>
    <w:p w:rsidR="00CB3218" w:rsidRDefault="00CB3218" w:rsidP="00BF5653">
      <w:pPr>
        <w:rPr>
          <w:rFonts w:cs="Arial"/>
          <w:lang w:val="en"/>
        </w:rPr>
      </w:pPr>
    </w:p>
    <w:p w:rsidR="00CB3218" w:rsidRDefault="00CB3218" w:rsidP="00BF5653">
      <w:pPr>
        <w:rPr>
          <w:rFonts w:cs="Arial"/>
          <w:lang w:val="en"/>
        </w:rPr>
      </w:pPr>
    </w:p>
    <w:p w:rsidR="00CB3218" w:rsidRDefault="00CB3218" w:rsidP="00BF5653">
      <w:pPr>
        <w:rPr>
          <w:rFonts w:cs="Arial"/>
          <w:lang w:val="en"/>
        </w:rPr>
      </w:pPr>
    </w:p>
    <w:p w:rsidR="00CB3218" w:rsidRDefault="00CB3218" w:rsidP="00BF5653">
      <w:pPr>
        <w:rPr>
          <w:rFonts w:cs="Arial"/>
          <w:lang w:val="en"/>
        </w:rPr>
      </w:pPr>
    </w:p>
    <w:p w:rsidR="00BF5653" w:rsidRPr="00E5372C" w:rsidRDefault="00CB3218" w:rsidP="00BF5653">
      <w:pPr>
        <w:rPr>
          <w:rStyle w:val="SubtleReference1"/>
          <w:rFonts w:ascii="Cambria" w:hAnsi="Cambria"/>
          <w:i w:val="0"/>
          <w:color w:val="auto"/>
        </w:rPr>
      </w:pPr>
      <w:r w:rsidRPr="00CB3218">
        <w:rPr>
          <w:rFonts w:cs="Arial"/>
          <w:lang w:val="en"/>
        </w:rPr>
        <w:t>Rate of child abuse victims from reports classified as "probable cause" indicating that child abuse or neglect has occurred</w:t>
      </w:r>
      <w:r>
        <w:rPr>
          <w:rFonts w:cs="Arial"/>
          <w:lang w:val="en"/>
        </w:rPr>
        <w:t xml:space="preserve">. </w:t>
      </w:r>
      <w:r w:rsidR="00BF5653" w:rsidRPr="00074652">
        <w:rPr>
          <w:rStyle w:val="SubtleReference1"/>
          <w:rFonts w:ascii="Cambria" w:hAnsi="Cambria"/>
          <w:iCs/>
          <w:color w:val="auto"/>
        </w:rPr>
        <w:t xml:space="preserve">Source: </w:t>
      </w:r>
      <w:hyperlink r:id="rId38" w:history="1">
        <w:r w:rsidR="00BF5653" w:rsidRPr="00074652">
          <w:rPr>
            <w:rStyle w:val="Hyperlink"/>
            <w:color w:val="auto"/>
          </w:rPr>
          <w:t>www.kidscount.org</w:t>
        </w:r>
      </w:hyperlink>
    </w:p>
    <w:p w:rsidR="00BF5653" w:rsidRPr="00074652" w:rsidRDefault="00BF5653" w:rsidP="00BF5653">
      <w:pPr>
        <w:pStyle w:val="Heading5"/>
        <w:rPr>
          <w:rStyle w:val="SubtleReference1"/>
          <w:rFonts w:ascii="Cambria" w:hAnsi="Cambria"/>
          <w:i w:val="0"/>
          <w:iCs/>
          <w:color w:val="auto"/>
        </w:rPr>
      </w:pPr>
      <w:r w:rsidRPr="00074652">
        <w:rPr>
          <w:rStyle w:val="SubtleReference1"/>
          <w:rFonts w:ascii="Cambria" w:hAnsi="Cambria"/>
          <w:i w:val="0"/>
          <w:iCs/>
          <w:color w:val="auto"/>
        </w:rPr>
        <w:t>discussion</w:t>
      </w:r>
    </w:p>
    <w:p w:rsidR="00BF5653" w:rsidRPr="009E11EC" w:rsidRDefault="00BF5653" w:rsidP="00BF5653">
      <w:r w:rsidRPr="009E11EC">
        <w:t>Figures 2.11 through 2.17 represent the population health for the youth of L</w:t>
      </w:r>
      <w:r w:rsidR="00D62195" w:rsidRPr="009E11EC">
        <w:t>inn</w:t>
      </w:r>
      <w:r w:rsidRPr="009E11EC">
        <w:t xml:space="preserve"> County. Similar to many other health indicators and factors, it is important to consider inputs into children’s health to effectively target opportunities for improvement</w:t>
      </w:r>
      <w:r w:rsidRPr="009E11EC">
        <w:rPr>
          <w:rStyle w:val="SubtleReference1"/>
          <w:rFonts w:ascii="Cambria" w:hAnsi="Cambria"/>
          <w:i w:val="0"/>
          <w:iCs/>
          <w:color w:val="auto"/>
        </w:rPr>
        <w:t xml:space="preserve">.  </w:t>
      </w:r>
      <w:r w:rsidRPr="009E11EC">
        <w:t>Many conclusions could be inferred from the data above, but the purpose is to highlight areas of marked deficiencies or needed improvements.  L</w:t>
      </w:r>
      <w:r w:rsidR="00E872CE" w:rsidRPr="009E11EC">
        <w:t>i</w:t>
      </w:r>
      <w:r w:rsidR="00D62195" w:rsidRPr="009E11EC">
        <w:t>nn</w:t>
      </w:r>
      <w:r w:rsidRPr="009E11EC">
        <w:t xml:space="preserve"> County fares well in most of the reported measures, but a few points from the data include:</w:t>
      </w:r>
    </w:p>
    <w:p w:rsidR="00BF5653" w:rsidRPr="009E11EC" w:rsidRDefault="006B1C1D" w:rsidP="00BF5653">
      <w:pPr>
        <w:pStyle w:val="ColorfulList-Accent11"/>
        <w:numPr>
          <w:ilvl w:val="0"/>
          <w:numId w:val="1"/>
        </w:numPr>
      </w:pPr>
      <w:r w:rsidRPr="009E11EC">
        <w:t xml:space="preserve">The </w:t>
      </w:r>
      <w:r w:rsidR="00D62195" w:rsidRPr="009E11EC">
        <w:t>infant mortality</w:t>
      </w:r>
      <w:r w:rsidR="00E872CE" w:rsidRPr="009E11EC">
        <w:t xml:space="preserve"> rate </w:t>
      </w:r>
      <w:r w:rsidRPr="009E11EC">
        <w:t>for Li</w:t>
      </w:r>
      <w:r w:rsidR="00D62195" w:rsidRPr="009E11EC">
        <w:t>nn</w:t>
      </w:r>
      <w:r w:rsidRPr="009E11EC">
        <w:t xml:space="preserve"> County is </w:t>
      </w:r>
      <w:r w:rsidR="00E872CE" w:rsidRPr="009E11EC">
        <w:t xml:space="preserve">higher than the overall rate for the state of Missouri. </w:t>
      </w:r>
    </w:p>
    <w:p w:rsidR="00BF5653" w:rsidRPr="009E11EC" w:rsidRDefault="006B1C1D" w:rsidP="00BF5653">
      <w:pPr>
        <w:pStyle w:val="ColorfulList-Accent11"/>
        <w:numPr>
          <w:ilvl w:val="0"/>
          <w:numId w:val="1"/>
        </w:numPr>
      </w:pPr>
      <w:r w:rsidRPr="009E11EC">
        <w:t xml:space="preserve">There are more children living within the U.S. poverty threshold </w:t>
      </w:r>
      <w:r w:rsidR="00D62195" w:rsidRPr="009E11EC">
        <w:t>in Linn</w:t>
      </w:r>
      <w:r w:rsidRPr="009E11EC">
        <w:t xml:space="preserve"> County compared</w:t>
      </w:r>
      <w:r w:rsidR="00BD18F3" w:rsidRPr="009E11EC">
        <w:t xml:space="preserve"> </w:t>
      </w:r>
      <w:r w:rsidR="009E11EC" w:rsidRPr="009E11EC">
        <w:t>to the state of</w:t>
      </w:r>
      <w:r w:rsidR="00BD18F3" w:rsidRPr="009E11EC">
        <w:t xml:space="preserve"> </w:t>
      </w:r>
      <w:r w:rsidRPr="009E11EC">
        <w:t xml:space="preserve">Missouri. </w:t>
      </w:r>
    </w:p>
    <w:p w:rsidR="00BF5653" w:rsidRPr="009E11EC" w:rsidRDefault="006B1C1D" w:rsidP="00BF5653">
      <w:pPr>
        <w:pStyle w:val="ColorfulList-Accent11"/>
        <w:numPr>
          <w:ilvl w:val="0"/>
          <w:numId w:val="1"/>
        </w:numPr>
      </w:pPr>
      <w:r w:rsidRPr="009E11EC">
        <w:t>The rate of child abuse and neglect</w:t>
      </w:r>
      <w:r w:rsidR="00D62195" w:rsidRPr="009E11EC">
        <w:t xml:space="preserve"> is significantly higher for Linn</w:t>
      </w:r>
      <w:r w:rsidRPr="009E11EC">
        <w:t xml:space="preserve"> County even though there has been a drop </w:t>
      </w:r>
      <w:r w:rsidR="009E11EC" w:rsidRPr="009E11EC">
        <w:t>from</w:t>
      </w:r>
      <w:r w:rsidR="00BD18F3" w:rsidRPr="009E11EC">
        <w:t xml:space="preserve"> </w:t>
      </w:r>
      <w:r w:rsidRPr="009E11EC">
        <w:t>2007-2008</w:t>
      </w:r>
      <w:r w:rsidR="00BF5653" w:rsidRPr="009E11EC">
        <w:t>.</w:t>
      </w:r>
    </w:p>
    <w:p w:rsidR="00BF5653" w:rsidRPr="00074652" w:rsidRDefault="00BF5653" w:rsidP="00BF5653"/>
    <w:p w:rsidR="00BF5653" w:rsidRPr="00074652" w:rsidRDefault="00BF5653" w:rsidP="00BF5653"/>
    <w:p w:rsidR="00BF5653" w:rsidRDefault="00BF5653" w:rsidP="00BF5653"/>
    <w:p w:rsidR="00E872CE" w:rsidRPr="00074652" w:rsidRDefault="00E872CE" w:rsidP="00BF5653"/>
    <w:p w:rsidR="00BF5653" w:rsidRPr="006B1C1D" w:rsidRDefault="006B1C1D" w:rsidP="00BF5653">
      <w:pPr>
        <w:rPr>
          <w:i/>
        </w:rPr>
      </w:pPr>
      <w:r w:rsidRPr="006B1C1D">
        <w:rPr>
          <w:i/>
        </w:rPr>
        <w:t xml:space="preserve">Note: The most current published data has been used to produce the charts and figures represented in this section. </w:t>
      </w:r>
    </w:p>
    <w:p w:rsidR="00BF5653" w:rsidRPr="00074652" w:rsidRDefault="00BF5653" w:rsidP="00BF5653">
      <w:pPr>
        <w:pStyle w:val="Heading2"/>
        <w:rPr>
          <w:color w:val="auto"/>
        </w:rPr>
      </w:pPr>
      <w:bookmarkStart w:id="114" w:name="_Toc292981220"/>
      <w:bookmarkStart w:id="115" w:name="_Toc318638290"/>
      <w:bookmarkStart w:id="116" w:name="_Toc229126478"/>
      <w:r w:rsidRPr="00074652">
        <w:rPr>
          <w:color w:val="auto"/>
        </w:rPr>
        <w:lastRenderedPageBreak/>
        <w:t>Summary of Secondary Analysis</w:t>
      </w:r>
      <w:bookmarkEnd w:id="114"/>
      <w:bookmarkEnd w:id="115"/>
      <w:bookmarkEnd w:id="116"/>
    </w:p>
    <w:p w:rsidR="00BF5653" w:rsidRPr="00074652" w:rsidRDefault="00FA23ED" w:rsidP="00BF5653">
      <w:pPr>
        <w:pStyle w:val="Heading3"/>
        <w:rPr>
          <w:color w:val="auto"/>
        </w:rPr>
      </w:pPr>
      <w:bookmarkStart w:id="117" w:name="_Toc292981221"/>
      <w:bookmarkStart w:id="118" w:name="_Toc318638291"/>
      <w:bookmarkStart w:id="119" w:name="_Toc229126479"/>
      <w:r>
        <w:rPr>
          <w:noProof/>
          <w:lang w:val="en-US" w:eastAsia="en-US"/>
        </w:rPr>
        <w:drawing>
          <wp:anchor distT="12469" distB="19353" distL="126930" distR="133245" simplePos="0" relativeHeight="251664384" behindDoc="1" locked="0" layoutInCell="1" allowOverlap="1">
            <wp:simplePos x="0" y="0"/>
            <wp:positionH relativeFrom="column">
              <wp:posOffset>126930</wp:posOffset>
            </wp:positionH>
            <wp:positionV relativeFrom="paragraph">
              <wp:posOffset>364894</wp:posOffset>
            </wp:positionV>
            <wp:extent cx="5683250" cy="3053715"/>
            <wp:effectExtent l="19050" t="19050" r="12700" b="13335"/>
            <wp:wrapNone/>
            <wp:docPr id="8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00BF5653" w:rsidRPr="00074652">
        <w:rPr>
          <w:color w:val="auto"/>
        </w:rPr>
        <w:t>Figure 2.1</w:t>
      </w:r>
      <w:bookmarkEnd w:id="117"/>
      <w:r w:rsidR="00BF5653">
        <w:rPr>
          <w:color w:val="auto"/>
        </w:rPr>
        <w:t>8</w:t>
      </w:r>
      <w:bookmarkEnd w:id="118"/>
      <w:bookmarkEnd w:id="119"/>
    </w:p>
    <w:p w:rsidR="00BF5653" w:rsidRPr="00074652" w:rsidRDefault="00BF5653" w:rsidP="00BF5653"/>
    <w:p w:rsidR="00D51E41" w:rsidRDefault="00D51E41" w:rsidP="00BF5653">
      <w:pPr>
        <w:rPr>
          <w:rStyle w:val="SubtleReference1"/>
          <w:rFonts w:ascii="Cambria" w:hAnsi="Cambria"/>
          <w:iCs/>
          <w:color w:val="auto"/>
        </w:rPr>
      </w:pPr>
    </w:p>
    <w:p w:rsidR="00D51E41" w:rsidRDefault="00D51E41" w:rsidP="00BF5653">
      <w:pPr>
        <w:rPr>
          <w:rStyle w:val="SubtleReference1"/>
          <w:rFonts w:ascii="Cambria" w:hAnsi="Cambria"/>
          <w:iCs/>
          <w:color w:val="auto"/>
        </w:rPr>
      </w:pPr>
    </w:p>
    <w:p w:rsidR="00D51E41" w:rsidRDefault="00D51E41" w:rsidP="00BF5653">
      <w:pPr>
        <w:rPr>
          <w:rStyle w:val="SubtleReference1"/>
          <w:rFonts w:ascii="Cambria" w:hAnsi="Cambria"/>
          <w:iCs/>
          <w:color w:val="auto"/>
        </w:rPr>
      </w:pPr>
    </w:p>
    <w:p w:rsidR="00D51E41" w:rsidRDefault="00D51E41" w:rsidP="00BF5653">
      <w:pPr>
        <w:rPr>
          <w:rStyle w:val="SubtleReference1"/>
          <w:rFonts w:ascii="Cambria" w:hAnsi="Cambria"/>
          <w:iCs/>
          <w:color w:val="auto"/>
        </w:rPr>
      </w:pPr>
    </w:p>
    <w:p w:rsidR="00D51E41" w:rsidRDefault="00D51E41" w:rsidP="00BF5653">
      <w:pPr>
        <w:rPr>
          <w:rStyle w:val="SubtleReference1"/>
          <w:rFonts w:ascii="Cambria" w:hAnsi="Cambria"/>
          <w:iCs/>
          <w:color w:val="auto"/>
        </w:rPr>
      </w:pPr>
    </w:p>
    <w:p w:rsidR="00D51E41" w:rsidRDefault="00D51E41" w:rsidP="00BF5653">
      <w:pPr>
        <w:rPr>
          <w:rStyle w:val="SubtleReference1"/>
          <w:rFonts w:ascii="Cambria" w:hAnsi="Cambria"/>
          <w:iCs/>
          <w:color w:val="auto"/>
        </w:rPr>
      </w:pPr>
    </w:p>
    <w:p w:rsidR="00D51E41" w:rsidRDefault="00D51E41" w:rsidP="00BF5653">
      <w:pPr>
        <w:rPr>
          <w:rStyle w:val="SubtleReference1"/>
          <w:rFonts w:ascii="Cambria" w:hAnsi="Cambria"/>
          <w:iCs/>
          <w:color w:val="auto"/>
        </w:rPr>
      </w:pPr>
    </w:p>
    <w:p w:rsidR="00D51E41" w:rsidRDefault="00D51E41" w:rsidP="00BF5653">
      <w:pPr>
        <w:rPr>
          <w:rStyle w:val="SubtleReference1"/>
          <w:rFonts w:ascii="Cambria" w:hAnsi="Cambria"/>
          <w:iCs/>
          <w:color w:val="auto"/>
        </w:rPr>
      </w:pPr>
    </w:p>
    <w:p w:rsidR="00D51E41" w:rsidRDefault="00D51E41" w:rsidP="00BF5653">
      <w:pPr>
        <w:rPr>
          <w:rStyle w:val="SubtleReference1"/>
          <w:rFonts w:ascii="Cambria" w:hAnsi="Cambria"/>
          <w:iCs/>
          <w:color w:val="auto"/>
        </w:rPr>
      </w:pPr>
    </w:p>
    <w:p w:rsidR="00D51E41" w:rsidRDefault="00D51E41" w:rsidP="00BF5653">
      <w:pPr>
        <w:rPr>
          <w:rStyle w:val="SubtleReference1"/>
          <w:rFonts w:ascii="Cambria" w:hAnsi="Cambria"/>
          <w:iCs/>
          <w:color w:val="auto"/>
        </w:rPr>
      </w:pPr>
    </w:p>
    <w:p w:rsidR="00BF5653" w:rsidRPr="00074652" w:rsidRDefault="00BF5653" w:rsidP="00BF5653">
      <w:pPr>
        <w:rPr>
          <w:rStyle w:val="SubtleReference1"/>
          <w:rFonts w:ascii="Cambria" w:hAnsi="Cambria"/>
          <w:i w:val="0"/>
          <w:iCs/>
          <w:color w:val="auto"/>
        </w:rPr>
      </w:pPr>
      <w:r w:rsidRPr="00074652">
        <w:rPr>
          <w:rStyle w:val="SubtleReference1"/>
          <w:rFonts w:ascii="Cambria" w:hAnsi="Cambria"/>
          <w:iCs/>
          <w:color w:val="auto"/>
        </w:rPr>
        <w:t xml:space="preserve">Source: </w:t>
      </w:r>
      <w:r w:rsidRPr="00074652">
        <w:rPr>
          <w:rStyle w:val="SubtleReference1"/>
          <w:rFonts w:ascii="Cambria" w:hAnsi="Cambria"/>
          <w:i w:val="0"/>
          <w:iCs/>
          <w:color w:val="auto"/>
        </w:rPr>
        <w:t>U.S. Department of H</w:t>
      </w:r>
      <w:r w:rsidR="001B288D">
        <w:rPr>
          <w:rStyle w:val="SubtleReference1"/>
          <w:rFonts w:ascii="Cambria" w:hAnsi="Cambria"/>
          <w:i w:val="0"/>
          <w:iCs/>
          <w:color w:val="auto"/>
        </w:rPr>
        <w:t xml:space="preserve">ealth and Human Services (2009) and </w:t>
      </w:r>
      <w:r w:rsidR="001B288D" w:rsidRPr="001B288D">
        <w:rPr>
          <w:rStyle w:val="SubtleReference1"/>
          <w:rFonts w:ascii="Cambria" w:hAnsi="Cambria"/>
          <w:i w:val="0"/>
          <w:iCs/>
          <w:color w:val="auto"/>
        </w:rPr>
        <w:t>http://health.mo.gov/data/mica/ASPsDeath/header.php?cnty=115</w:t>
      </w:r>
      <w:r w:rsidRPr="00074652">
        <w:rPr>
          <w:rStyle w:val="SubtleReference1"/>
          <w:rFonts w:ascii="Cambria" w:hAnsi="Cambria"/>
          <w:i w:val="0"/>
          <w:iCs/>
          <w:color w:val="auto"/>
        </w:rPr>
        <w:t xml:space="preserve">. </w:t>
      </w:r>
      <w:hyperlink r:id="rId40" w:history="1">
        <w:r w:rsidRPr="00074652">
          <w:rPr>
            <w:rStyle w:val="Hyperlink"/>
            <w:color w:val="auto"/>
          </w:rPr>
          <w:t>http://www.communityhealth.hhs.gov</w:t>
        </w:r>
      </w:hyperlink>
    </w:p>
    <w:p w:rsidR="00BF5653" w:rsidRPr="00074652" w:rsidRDefault="00BF5653" w:rsidP="00BF5653">
      <w:pPr>
        <w:pStyle w:val="Heading5"/>
        <w:rPr>
          <w:color w:val="auto"/>
        </w:rPr>
      </w:pPr>
      <w:r w:rsidRPr="00074652">
        <w:rPr>
          <w:color w:val="auto"/>
        </w:rPr>
        <w:t>Discussion</w:t>
      </w:r>
    </w:p>
    <w:p w:rsidR="00BF5653" w:rsidRPr="009E11EC" w:rsidRDefault="00BF5653" w:rsidP="00BF5653">
      <w:r w:rsidRPr="009E11EC">
        <w:t>Figure 2.18 shows the causes of death for L</w:t>
      </w:r>
      <w:r w:rsidR="00D51E41" w:rsidRPr="009E11EC">
        <w:t>i</w:t>
      </w:r>
      <w:r w:rsidR="00AB31D8" w:rsidRPr="009E11EC">
        <w:t xml:space="preserve">nn </w:t>
      </w:r>
      <w:r w:rsidRPr="009E11EC">
        <w:t>County in comparison to the U.S.</w:t>
      </w:r>
      <w:r w:rsidR="00D51E41" w:rsidRPr="009E11EC">
        <w:t>, Missouri,</w:t>
      </w:r>
      <w:r w:rsidR="00A071C1" w:rsidRPr="009E11EC">
        <w:t xml:space="preserve"> and the Healthy People 2020</w:t>
      </w:r>
      <w:r w:rsidRPr="009E11EC">
        <w:t xml:space="preserve"> target.  The causes of death listed, while not avoidable, are certainly those that can potentially be manipulated by incorporating the proper policies and giving people the tools to effectively manage population health.  The data show that coronary heart disease, </w:t>
      </w:r>
      <w:r w:rsidR="00D51E41" w:rsidRPr="009E11EC">
        <w:t>unintentional injuries, vehicle accidents</w:t>
      </w:r>
      <w:r w:rsidRPr="009E11EC">
        <w:t>, and s</w:t>
      </w:r>
      <w:r w:rsidR="00D51E41" w:rsidRPr="009E11EC">
        <w:t>moking</w:t>
      </w:r>
      <w:r w:rsidRPr="009E11EC">
        <w:t xml:space="preserve"> are all at levels higher in relation to the U.S.</w:t>
      </w:r>
      <w:r w:rsidR="00D51E41" w:rsidRPr="009E11EC">
        <w:t>, Missouri,</w:t>
      </w:r>
      <w:r w:rsidRPr="009E11EC">
        <w:t xml:space="preserve"> and the Healthy People </w:t>
      </w:r>
      <w:r w:rsidR="0083552A" w:rsidRPr="009E11EC">
        <w:t xml:space="preserve">2020 </w:t>
      </w:r>
      <w:r w:rsidRPr="009E11EC">
        <w:t xml:space="preserve">target.  Cause of death is a good measure of how effectively the needs of the community are being met and how well public officials and the healthcare industry are managing the topics covered throughout this section.  The final recommendations and analysis will be discussed </w:t>
      </w:r>
      <w:r w:rsidR="0083552A" w:rsidRPr="009E11EC">
        <w:t>in a later section.</w:t>
      </w:r>
    </w:p>
    <w:p w:rsidR="00BF5653" w:rsidRPr="0021352D" w:rsidRDefault="00BF5653" w:rsidP="00BF5653">
      <w:pPr>
        <w:pStyle w:val="Heading1"/>
      </w:pPr>
      <w:r w:rsidRPr="00074652">
        <w:br w:type="page"/>
      </w:r>
      <w:bookmarkStart w:id="120" w:name="_Toc292981222"/>
      <w:bookmarkStart w:id="121" w:name="_Toc318638292"/>
      <w:bookmarkStart w:id="122" w:name="_Toc229126480"/>
      <w:r w:rsidRPr="00074652">
        <w:lastRenderedPageBreak/>
        <w:t>III. Current Healthcare Services and Facilities</w:t>
      </w:r>
      <w:bookmarkEnd w:id="120"/>
      <w:bookmarkEnd w:id="121"/>
      <w:bookmarkEnd w:id="122"/>
    </w:p>
    <w:p w:rsidR="00BF5653" w:rsidRPr="00074652" w:rsidRDefault="00BF5653" w:rsidP="00BF5653">
      <w:pPr>
        <w:pStyle w:val="Heading2"/>
        <w:rPr>
          <w:color w:val="auto"/>
        </w:rPr>
      </w:pPr>
      <w:bookmarkStart w:id="123" w:name="_Toc318638293"/>
      <w:bookmarkStart w:id="124" w:name="_Toc229126481"/>
      <w:r w:rsidRPr="00074652">
        <w:rPr>
          <w:color w:val="auto"/>
        </w:rPr>
        <w:t>Hospitals</w:t>
      </w:r>
      <w:bookmarkEnd w:id="123"/>
      <w:bookmarkEnd w:id="124"/>
    </w:p>
    <w:p w:rsidR="00BF5653" w:rsidRPr="0021352D" w:rsidRDefault="00536E5D" w:rsidP="00BF5653">
      <w:pPr>
        <w:pStyle w:val="Heading3"/>
        <w:rPr>
          <w:color w:val="auto"/>
        </w:rPr>
      </w:pPr>
      <w:bookmarkStart w:id="125" w:name="_Toc292981224"/>
      <w:bookmarkStart w:id="126" w:name="_Toc318638294"/>
      <w:bookmarkStart w:id="127" w:name="_Toc229126482"/>
      <w:r>
        <w:rPr>
          <w:color w:val="auto"/>
          <w:lang w:val="en-US"/>
        </w:rPr>
        <w:t>General John J. Pershing Memorial Hospital</w:t>
      </w:r>
      <w:r w:rsidR="00BF5653" w:rsidRPr="0021352D">
        <w:rPr>
          <w:color w:val="auto"/>
        </w:rPr>
        <w:t xml:space="preserve"> – </w:t>
      </w:r>
      <w:r>
        <w:rPr>
          <w:color w:val="auto"/>
        </w:rPr>
        <w:t>Pershing</w:t>
      </w:r>
      <w:r w:rsidR="00BF5653" w:rsidRPr="0021352D">
        <w:rPr>
          <w:color w:val="auto"/>
        </w:rPr>
        <w:t xml:space="preserve"> Health System</w:t>
      </w:r>
      <w:bookmarkEnd w:id="125"/>
      <w:bookmarkEnd w:id="126"/>
      <w:bookmarkEnd w:id="127"/>
    </w:p>
    <w:p w:rsidR="00030980" w:rsidRPr="009E11EC" w:rsidRDefault="00030980" w:rsidP="00030980">
      <w:bookmarkStart w:id="128" w:name="_Toc292981225"/>
      <w:r w:rsidRPr="009E11EC">
        <w:t xml:space="preserve">Pershing Memorial is a 25 bed critical access hospital located at 103 East Lockling in Brookfield, Missouri. The hospital originally opened on January 11, 1960 </w:t>
      </w:r>
      <w:r w:rsidR="00946637" w:rsidRPr="009E11EC">
        <w:t>and recently added an</w:t>
      </w:r>
      <w:r w:rsidRPr="009E11EC">
        <w:t xml:space="preserve"> </w:t>
      </w:r>
      <w:r w:rsidR="00946637" w:rsidRPr="009E11EC">
        <w:t xml:space="preserve">11 million dollar expansion for outpatient procedures </w:t>
      </w:r>
      <w:r w:rsidRPr="009E11EC">
        <w:t xml:space="preserve">on October 4, 2008. </w:t>
      </w:r>
    </w:p>
    <w:p w:rsidR="00946637" w:rsidRPr="009E11EC" w:rsidRDefault="00946637" w:rsidP="00595FDA">
      <w:pPr>
        <w:pStyle w:val="Heading4"/>
        <w:rPr>
          <w:color w:val="auto"/>
        </w:rPr>
      </w:pPr>
      <w:r w:rsidRPr="009E11EC">
        <w:rPr>
          <w:color w:val="auto"/>
        </w:rPr>
        <w:t>Service Lines</w:t>
      </w:r>
    </w:p>
    <w:p w:rsidR="005433FC" w:rsidRPr="009E11EC" w:rsidRDefault="005433FC" w:rsidP="005433FC">
      <w:pPr>
        <w:spacing w:line="240" w:lineRule="auto"/>
        <w:contextualSpacing/>
        <w:rPr>
          <w:rFonts w:ascii="Times New Roman" w:hAnsi="Times New Roman"/>
          <w:b/>
          <w:u w:val="single"/>
        </w:rPr>
        <w:sectPr w:rsidR="005433FC" w:rsidRPr="009E11EC" w:rsidSect="00BF5653">
          <w:footerReference w:type="default" r:id="rId41"/>
          <w:pgSz w:w="12240" w:h="15840"/>
          <w:pgMar w:top="1440" w:right="1440" w:bottom="1440" w:left="1440" w:header="720" w:footer="720" w:gutter="0"/>
          <w:cols w:space="720"/>
          <w:docGrid w:linePitch="360"/>
        </w:sectPr>
      </w:pPr>
    </w:p>
    <w:p w:rsidR="00946637" w:rsidRPr="009E11EC" w:rsidRDefault="00946637" w:rsidP="005433FC">
      <w:pPr>
        <w:spacing w:line="240" w:lineRule="auto"/>
        <w:contextualSpacing/>
        <w:rPr>
          <w:b/>
        </w:rPr>
      </w:pPr>
      <w:r w:rsidRPr="009E11EC">
        <w:rPr>
          <w:rFonts w:ascii="Times New Roman" w:hAnsi="Times New Roman"/>
          <w:b/>
          <w:u w:val="single"/>
        </w:rPr>
        <w:lastRenderedPageBreak/>
        <w:t>■</w:t>
      </w:r>
      <w:r w:rsidRPr="009E11EC">
        <w:rPr>
          <w:b/>
          <w:u w:val="single"/>
        </w:rPr>
        <w:t>Outpatient/Ambulatory Services</w:t>
      </w:r>
      <w:r w:rsidRPr="009E11EC">
        <w:rPr>
          <w:b/>
        </w:rPr>
        <w:tab/>
      </w:r>
      <w:r w:rsidRPr="009E11EC">
        <w:rPr>
          <w:b/>
        </w:rPr>
        <w:tab/>
      </w:r>
    </w:p>
    <w:p w:rsidR="00946637" w:rsidRPr="009E11EC" w:rsidRDefault="00946637" w:rsidP="005433FC">
      <w:pPr>
        <w:spacing w:after="0" w:line="240" w:lineRule="auto"/>
        <w:ind w:left="720"/>
        <w:contextualSpacing/>
      </w:pPr>
      <w:r w:rsidRPr="009E11EC">
        <w:t>General/Same Day Surgery</w:t>
      </w:r>
      <w:r w:rsidRPr="009E11EC">
        <w:tab/>
      </w:r>
      <w:r w:rsidRPr="009E11EC">
        <w:tab/>
      </w:r>
    </w:p>
    <w:p w:rsidR="00946637" w:rsidRPr="009E11EC" w:rsidRDefault="005433FC" w:rsidP="005433FC">
      <w:pPr>
        <w:spacing w:after="0" w:line="240" w:lineRule="auto"/>
        <w:ind w:left="720"/>
        <w:contextualSpacing/>
        <w:rPr>
          <w:b/>
        </w:rPr>
      </w:pPr>
      <w:r w:rsidRPr="009E11EC">
        <w:t>Cataracts/Laser Surgery</w:t>
      </w:r>
      <w:r w:rsidRPr="009E11EC">
        <w:tab/>
      </w:r>
      <w:r w:rsidR="00946637" w:rsidRPr="009E11EC">
        <w:tab/>
      </w:r>
    </w:p>
    <w:p w:rsidR="00946637" w:rsidRPr="009E11EC" w:rsidRDefault="00946637" w:rsidP="005433FC">
      <w:pPr>
        <w:spacing w:after="0" w:line="240" w:lineRule="auto"/>
        <w:ind w:left="720"/>
        <w:contextualSpacing/>
        <w:rPr>
          <w:b/>
        </w:rPr>
      </w:pPr>
      <w:r w:rsidRPr="009E11EC">
        <w:t>IV Th</w:t>
      </w:r>
      <w:r w:rsidR="005433FC" w:rsidRPr="009E11EC">
        <w:t xml:space="preserve">erapy/Infusions (also including, Remicade, </w:t>
      </w:r>
      <w:r w:rsidRPr="009E11EC">
        <w:t>Rituxan, Reclast &amp; Lupron Therapy)</w:t>
      </w:r>
      <w:r w:rsidRPr="009E11EC">
        <w:tab/>
      </w:r>
      <w:r w:rsidRPr="009E11EC">
        <w:tab/>
      </w:r>
      <w:r w:rsidRPr="009E11EC">
        <w:tab/>
        <w:t xml:space="preserve">   </w:t>
      </w:r>
    </w:p>
    <w:p w:rsidR="00946637" w:rsidRPr="009E11EC" w:rsidRDefault="005433FC" w:rsidP="005433FC">
      <w:pPr>
        <w:spacing w:after="0" w:line="240" w:lineRule="auto"/>
        <w:ind w:left="720"/>
        <w:contextualSpacing/>
        <w:rPr>
          <w:b/>
        </w:rPr>
      </w:pPr>
      <w:r w:rsidRPr="009E11EC">
        <w:t>Medication Administration</w:t>
      </w:r>
      <w:r w:rsidRPr="009E11EC">
        <w:tab/>
      </w:r>
      <w:r w:rsidR="00946637" w:rsidRPr="009E11EC">
        <w:tab/>
      </w:r>
    </w:p>
    <w:p w:rsidR="00946637" w:rsidRPr="009E11EC" w:rsidRDefault="00946637" w:rsidP="005433FC">
      <w:pPr>
        <w:spacing w:after="0" w:line="240" w:lineRule="auto"/>
        <w:ind w:left="720"/>
        <w:contextualSpacing/>
        <w:rPr>
          <w:b/>
        </w:rPr>
      </w:pPr>
      <w:r w:rsidRPr="009E11EC">
        <w:t>Blood Transfusions, Wound Care, Cast/Splints</w:t>
      </w:r>
      <w:r w:rsidRPr="009E11EC">
        <w:tab/>
      </w:r>
    </w:p>
    <w:p w:rsidR="00946637" w:rsidRPr="009E11EC" w:rsidRDefault="005433FC" w:rsidP="005433FC">
      <w:pPr>
        <w:spacing w:after="0" w:line="240" w:lineRule="auto"/>
        <w:ind w:left="720"/>
        <w:contextualSpacing/>
        <w:rPr>
          <w:b/>
        </w:rPr>
      </w:pPr>
      <w:r w:rsidRPr="009E11EC">
        <w:t>Port-a-Cath Central Line Access</w:t>
      </w:r>
      <w:r w:rsidRPr="009E11EC">
        <w:tab/>
      </w:r>
    </w:p>
    <w:p w:rsidR="00946637" w:rsidRPr="009E11EC" w:rsidRDefault="00946637" w:rsidP="005433FC">
      <w:pPr>
        <w:spacing w:after="0" w:line="240" w:lineRule="auto"/>
        <w:ind w:left="720"/>
        <w:contextualSpacing/>
        <w:rPr>
          <w:b/>
        </w:rPr>
      </w:pPr>
      <w:r w:rsidRPr="009E11EC">
        <w:t>Bladder Instillation/C</w:t>
      </w:r>
      <w:r w:rsidR="005433FC" w:rsidRPr="009E11EC">
        <w:t xml:space="preserve">atheterization </w:t>
      </w:r>
      <w:r w:rsidRPr="009E11EC">
        <w:tab/>
        <w:t xml:space="preserve">   </w:t>
      </w:r>
    </w:p>
    <w:p w:rsidR="00946637" w:rsidRPr="009E11EC" w:rsidRDefault="00946637" w:rsidP="005433FC">
      <w:pPr>
        <w:spacing w:line="240" w:lineRule="auto"/>
        <w:contextualSpacing/>
        <w:jc w:val="both"/>
        <w:rPr>
          <w:b/>
        </w:rPr>
      </w:pPr>
      <w:r w:rsidRPr="009E11EC">
        <w:rPr>
          <w:rFonts w:ascii="Times New Roman" w:hAnsi="Times New Roman"/>
          <w:b/>
          <w:u w:val="single"/>
        </w:rPr>
        <w:t>■</w:t>
      </w:r>
      <w:r w:rsidRPr="009E11EC">
        <w:rPr>
          <w:b/>
          <w:u w:val="single"/>
        </w:rPr>
        <w:t>Laboratory Services</w:t>
      </w:r>
    </w:p>
    <w:p w:rsidR="00946637" w:rsidRPr="009E11EC" w:rsidRDefault="005433FC" w:rsidP="005433FC">
      <w:pPr>
        <w:spacing w:after="0" w:line="240" w:lineRule="auto"/>
        <w:ind w:left="720"/>
        <w:contextualSpacing/>
        <w:jc w:val="both"/>
        <w:rPr>
          <w:b/>
        </w:rPr>
      </w:pPr>
      <w:r w:rsidRPr="009E11EC">
        <w:t>Full Service Laboratory</w:t>
      </w:r>
      <w:r w:rsidR="00946637" w:rsidRPr="009E11EC">
        <w:tab/>
      </w:r>
      <w:r w:rsidR="00946637" w:rsidRPr="009E11EC">
        <w:tab/>
      </w:r>
    </w:p>
    <w:p w:rsidR="00946637" w:rsidRPr="009E11EC" w:rsidRDefault="005433FC" w:rsidP="005433FC">
      <w:pPr>
        <w:spacing w:after="0" w:line="240" w:lineRule="auto"/>
        <w:ind w:left="720"/>
        <w:contextualSpacing/>
        <w:jc w:val="both"/>
        <w:rPr>
          <w:b/>
        </w:rPr>
      </w:pPr>
      <w:r w:rsidRPr="009E11EC">
        <w:t xml:space="preserve">Phlebotomy Therapy </w:t>
      </w:r>
    </w:p>
    <w:p w:rsidR="00946637" w:rsidRPr="009E11EC" w:rsidRDefault="005433FC" w:rsidP="005433FC">
      <w:pPr>
        <w:spacing w:after="0" w:line="240" w:lineRule="auto"/>
        <w:ind w:left="720"/>
        <w:contextualSpacing/>
        <w:jc w:val="both"/>
        <w:rPr>
          <w:b/>
        </w:rPr>
      </w:pPr>
      <w:r w:rsidRPr="009E11EC">
        <w:t>Employment Drug Screens</w:t>
      </w:r>
    </w:p>
    <w:p w:rsidR="00946637" w:rsidRPr="009E11EC" w:rsidRDefault="00946637" w:rsidP="005433FC">
      <w:pPr>
        <w:spacing w:line="240" w:lineRule="auto"/>
        <w:contextualSpacing/>
      </w:pPr>
      <w:r w:rsidRPr="009E11EC">
        <w:t xml:space="preserve">            </w:t>
      </w:r>
      <w:r w:rsidRPr="009E11EC">
        <w:tab/>
        <w:t>Must set up contract</w:t>
      </w:r>
    </w:p>
    <w:p w:rsidR="00946637" w:rsidRPr="009E11EC" w:rsidRDefault="00946637" w:rsidP="005433FC">
      <w:pPr>
        <w:spacing w:after="0" w:line="240" w:lineRule="auto"/>
        <w:ind w:left="720"/>
        <w:contextualSpacing/>
      </w:pPr>
      <w:r w:rsidRPr="009E11EC">
        <w:t>Coagulation Testing (Blood Thinner)</w:t>
      </w:r>
    </w:p>
    <w:p w:rsidR="00946637" w:rsidRPr="009E11EC" w:rsidRDefault="00946637" w:rsidP="005433FC">
      <w:pPr>
        <w:spacing w:after="0" w:line="240" w:lineRule="auto"/>
        <w:ind w:left="720"/>
        <w:contextualSpacing/>
      </w:pPr>
      <w:r w:rsidRPr="009E11EC">
        <w:t>Inpatient and Outpatient</w:t>
      </w:r>
    </w:p>
    <w:p w:rsidR="00946637" w:rsidRPr="009E11EC" w:rsidRDefault="00946637" w:rsidP="005433FC">
      <w:pPr>
        <w:spacing w:line="240" w:lineRule="auto"/>
        <w:contextualSpacing/>
        <w:rPr>
          <w:b/>
        </w:rPr>
      </w:pPr>
      <w:r w:rsidRPr="009E11EC">
        <w:rPr>
          <w:rFonts w:ascii="Times New Roman" w:hAnsi="Times New Roman"/>
          <w:b/>
          <w:u w:val="single"/>
        </w:rPr>
        <w:t>■</w:t>
      </w:r>
      <w:r w:rsidRPr="009E11EC">
        <w:rPr>
          <w:b/>
          <w:u w:val="single"/>
        </w:rPr>
        <w:t>Respiratory Therapy</w:t>
      </w:r>
    </w:p>
    <w:p w:rsidR="00946637" w:rsidRPr="009E11EC" w:rsidRDefault="00946637" w:rsidP="005433FC">
      <w:pPr>
        <w:spacing w:after="0" w:line="240" w:lineRule="auto"/>
        <w:ind w:left="720"/>
        <w:contextualSpacing/>
        <w:rPr>
          <w:b/>
        </w:rPr>
      </w:pPr>
      <w:r w:rsidRPr="009E11EC">
        <w:t>Inpatient and Outpatient</w:t>
      </w:r>
    </w:p>
    <w:p w:rsidR="00946637" w:rsidRPr="009E11EC" w:rsidRDefault="00946637" w:rsidP="005433FC">
      <w:pPr>
        <w:spacing w:after="0" w:line="240" w:lineRule="auto"/>
        <w:ind w:left="720"/>
        <w:contextualSpacing/>
        <w:rPr>
          <w:b/>
        </w:rPr>
      </w:pPr>
      <w:r w:rsidRPr="009E11EC">
        <w:t>Treatment of Chronic and Acute Respiratory Disorders</w:t>
      </w:r>
    </w:p>
    <w:p w:rsidR="00946637" w:rsidRPr="009E11EC" w:rsidRDefault="00946637" w:rsidP="005433FC">
      <w:pPr>
        <w:spacing w:after="0" w:line="240" w:lineRule="auto"/>
        <w:ind w:left="720"/>
        <w:contextualSpacing/>
        <w:rPr>
          <w:b/>
        </w:rPr>
      </w:pPr>
      <w:r w:rsidRPr="009E11EC">
        <w:t>Pulmonary Function Testing</w:t>
      </w:r>
    </w:p>
    <w:p w:rsidR="00946637" w:rsidRPr="009E11EC" w:rsidRDefault="00946637" w:rsidP="005433FC">
      <w:pPr>
        <w:spacing w:after="0" w:line="240" w:lineRule="auto"/>
        <w:ind w:left="720"/>
        <w:contextualSpacing/>
        <w:rPr>
          <w:b/>
        </w:rPr>
      </w:pPr>
      <w:r w:rsidRPr="009E11EC">
        <w:t>Arterial Blood Gases, Pulse Oximetry</w:t>
      </w:r>
    </w:p>
    <w:p w:rsidR="00946637" w:rsidRPr="009E11EC" w:rsidRDefault="00946637" w:rsidP="00595FDA">
      <w:pPr>
        <w:spacing w:after="0" w:line="240" w:lineRule="auto"/>
        <w:ind w:left="720"/>
        <w:contextualSpacing/>
        <w:rPr>
          <w:b/>
        </w:rPr>
      </w:pPr>
      <w:r w:rsidRPr="009E11EC">
        <w:t>S</w:t>
      </w:r>
      <w:r w:rsidR="00595FDA" w:rsidRPr="009E11EC">
        <w:t>leep Studies – Call to Schedule</w:t>
      </w:r>
      <w:r w:rsidRPr="009E11EC">
        <w:tab/>
      </w:r>
    </w:p>
    <w:p w:rsidR="00946637" w:rsidRPr="009E11EC" w:rsidRDefault="00946637" w:rsidP="00595FDA">
      <w:pPr>
        <w:contextualSpacing/>
        <w:rPr>
          <w:b/>
        </w:rPr>
      </w:pPr>
      <w:r w:rsidRPr="009E11EC">
        <w:rPr>
          <w:rFonts w:ascii="Times New Roman" w:hAnsi="Times New Roman"/>
          <w:b/>
          <w:u w:val="single"/>
        </w:rPr>
        <w:t>■</w:t>
      </w:r>
      <w:r w:rsidRPr="009E11EC">
        <w:rPr>
          <w:b/>
          <w:u w:val="single"/>
        </w:rPr>
        <w:t>Rehabilitation</w:t>
      </w:r>
    </w:p>
    <w:p w:rsidR="00946637" w:rsidRPr="009E11EC" w:rsidRDefault="00946637" w:rsidP="005433FC">
      <w:pPr>
        <w:spacing w:after="0" w:line="240" w:lineRule="auto"/>
        <w:ind w:left="720"/>
        <w:contextualSpacing/>
        <w:rPr>
          <w:b/>
        </w:rPr>
      </w:pPr>
      <w:r w:rsidRPr="009E11EC">
        <w:t>Physical Therapy</w:t>
      </w:r>
    </w:p>
    <w:p w:rsidR="00946637" w:rsidRPr="009E11EC" w:rsidRDefault="00946637" w:rsidP="005433FC">
      <w:pPr>
        <w:spacing w:after="0" w:line="240" w:lineRule="auto"/>
        <w:ind w:left="720"/>
        <w:contextualSpacing/>
      </w:pPr>
      <w:r w:rsidRPr="009E11EC">
        <w:t>Occupational Therapy</w:t>
      </w:r>
    </w:p>
    <w:p w:rsidR="00946637" w:rsidRPr="009E11EC" w:rsidRDefault="00946637" w:rsidP="005433FC">
      <w:pPr>
        <w:spacing w:after="0" w:line="240" w:lineRule="auto"/>
        <w:ind w:left="720"/>
        <w:contextualSpacing/>
      </w:pPr>
      <w:r w:rsidRPr="009E11EC">
        <w:t>SNF Rehab</w:t>
      </w:r>
    </w:p>
    <w:p w:rsidR="00946637" w:rsidRPr="009E11EC" w:rsidRDefault="00946637" w:rsidP="005433FC">
      <w:pPr>
        <w:spacing w:after="0" w:line="240" w:lineRule="auto"/>
        <w:ind w:left="720"/>
        <w:contextualSpacing/>
      </w:pPr>
      <w:r w:rsidRPr="009E11EC">
        <w:t>Medicare, Medicaid, Work Comp, Insurance</w:t>
      </w:r>
    </w:p>
    <w:p w:rsidR="00946637" w:rsidRPr="009E11EC" w:rsidRDefault="00595FDA" w:rsidP="005433FC">
      <w:pPr>
        <w:spacing w:after="0" w:line="240" w:lineRule="auto"/>
        <w:ind w:left="720"/>
        <w:contextualSpacing/>
      </w:pPr>
      <w:r w:rsidRPr="009E11EC">
        <w:t>Post-Joint</w:t>
      </w:r>
      <w:r w:rsidR="00946637" w:rsidRPr="009E11EC">
        <w:t xml:space="preserve"> Replacement Rehab</w:t>
      </w:r>
    </w:p>
    <w:p w:rsidR="00946637" w:rsidRPr="009E11EC" w:rsidRDefault="00946637" w:rsidP="005433FC">
      <w:pPr>
        <w:spacing w:after="0" w:line="240" w:lineRule="auto"/>
        <w:ind w:left="720"/>
        <w:contextualSpacing/>
      </w:pPr>
      <w:r w:rsidRPr="009E11EC">
        <w:t>Stroke – Bio-Dex Balance/Vestibular Training</w:t>
      </w:r>
    </w:p>
    <w:p w:rsidR="00946637" w:rsidRPr="009E11EC" w:rsidRDefault="00946637" w:rsidP="005433FC">
      <w:pPr>
        <w:spacing w:after="0" w:line="240" w:lineRule="auto"/>
        <w:ind w:left="720"/>
        <w:contextualSpacing/>
      </w:pPr>
      <w:r w:rsidRPr="009E11EC">
        <w:lastRenderedPageBreak/>
        <w:t>Sports, Industrial, &amp; Farm Injuries</w:t>
      </w:r>
    </w:p>
    <w:p w:rsidR="00946637" w:rsidRPr="009E11EC" w:rsidRDefault="00946637" w:rsidP="005433FC">
      <w:pPr>
        <w:spacing w:after="0" w:line="240" w:lineRule="auto"/>
        <w:ind w:left="720"/>
        <w:contextualSpacing/>
      </w:pPr>
      <w:r w:rsidRPr="009E11EC">
        <w:t>Pediatrics, Geriatrics, Orthopedics</w:t>
      </w:r>
    </w:p>
    <w:p w:rsidR="00946637" w:rsidRPr="009E11EC" w:rsidRDefault="00946637" w:rsidP="005433FC">
      <w:pPr>
        <w:spacing w:after="120" w:line="240" w:lineRule="auto"/>
        <w:ind w:left="720"/>
        <w:contextualSpacing/>
      </w:pPr>
      <w:r w:rsidRPr="009E11EC">
        <w:t>Visiting Orthopedic Surgeon Clinics</w:t>
      </w:r>
    </w:p>
    <w:p w:rsidR="00946637" w:rsidRPr="009E11EC" w:rsidRDefault="00946637" w:rsidP="005433FC">
      <w:pPr>
        <w:contextualSpacing/>
        <w:rPr>
          <w:b/>
          <w:u w:val="single"/>
        </w:rPr>
      </w:pPr>
      <w:r w:rsidRPr="009E11EC">
        <w:rPr>
          <w:rFonts w:ascii="Times New Roman" w:hAnsi="Times New Roman"/>
          <w:b/>
          <w:u w:val="single"/>
        </w:rPr>
        <w:t>■</w:t>
      </w:r>
      <w:r w:rsidRPr="009E11EC">
        <w:rPr>
          <w:b/>
          <w:u w:val="single"/>
        </w:rPr>
        <w:t>Radiology Services</w:t>
      </w:r>
    </w:p>
    <w:p w:rsidR="00946637" w:rsidRPr="009E11EC" w:rsidRDefault="00946637" w:rsidP="005433FC">
      <w:pPr>
        <w:spacing w:after="0" w:line="240" w:lineRule="auto"/>
        <w:ind w:left="720"/>
        <w:contextualSpacing/>
      </w:pPr>
      <w:r w:rsidRPr="009E11EC">
        <w:t xml:space="preserve">Radiography/Fluoroscopy </w:t>
      </w:r>
    </w:p>
    <w:p w:rsidR="00946637" w:rsidRPr="009E11EC" w:rsidRDefault="00946637" w:rsidP="005433FC">
      <w:pPr>
        <w:spacing w:after="0" w:line="240" w:lineRule="auto"/>
        <w:ind w:left="720"/>
        <w:contextualSpacing/>
      </w:pPr>
      <w:r w:rsidRPr="009E11EC">
        <w:t xml:space="preserve">CT Scan </w:t>
      </w:r>
    </w:p>
    <w:p w:rsidR="00946637" w:rsidRPr="009E11EC" w:rsidRDefault="00946637" w:rsidP="005433FC">
      <w:pPr>
        <w:spacing w:after="0" w:line="240" w:lineRule="auto"/>
        <w:ind w:left="720"/>
        <w:contextualSpacing/>
      </w:pPr>
      <w:r w:rsidRPr="009E11EC">
        <w:t xml:space="preserve">MRI </w:t>
      </w:r>
      <w:r w:rsidR="005433FC" w:rsidRPr="009E11EC">
        <w:t xml:space="preserve">Scan </w:t>
      </w:r>
    </w:p>
    <w:p w:rsidR="00946637" w:rsidRPr="009E11EC" w:rsidRDefault="00946637" w:rsidP="005433FC">
      <w:pPr>
        <w:spacing w:after="0" w:line="240" w:lineRule="auto"/>
        <w:ind w:left="720"/>
        <w:contextualSpacing/>
      </w:pPr>
      <w:r w:rsidRPr="009E11EC">
        <w:t>Ultr</w:t>
      </w:r>
      <w:r w:rsidR="005433FC" w:rsidRPr="009E11EC">
        <w:t xml:space="preserve">asound </w:t>
      </w:r>
    </w:p>
    <w:p w:rsidR="00946637" w:rsidRPr="009E11EC" w:rsidRDefault="00946637" w:rsidP="005433FC">
      <w:pPr>
        <w:spacing w:after="0" w:line="240" w:lineRule="auto"/>
        <w:ind w:left="720"/>
        <w:contextualSpacing/>
      </w:pPr>
      <w:r w:rsidRPr="009E11EC">
        <w:t>Mammo</w:t>
      </w:r>
      <w:r w:rsidR="005433FC" w:rsidRPr="009E11EC">
        <w:t xml:space="preserve">graphy </w:t>
      </w:r>
    </w:p>
    <w:p w:rsidR="00946637" w:rsidRPr="009E11EC" w:rsidRDefault="00946637" w:rsidP="005433FC">
      <w:pPr>
        <w:spacing w:after="0" w:line="240" w:lineRule="auto"/>
        <w:ind w:left="720"/>
        <w:contextualSpacing/>
      </w:pPr>
      <w:r w:rsidRPr="009E11EC">
        <w:t>Nuclear Medic</w:t>
      </w:r>
      <w:r w:rsidR="005433FC" w:rsidRPr="009E11EC">
        <w:t xml:space="preserve">ine </w:t>
      </w:r>
    </w:p>
    <w:p w:rsidR="00946637" w:rsidRPr="009E11EC" w:rsidRDefault="00946637" w:rsidP="005433FC">
      <w:pPr>
        <w:spacing w:after="0" w:line="240" w:lineRule="auto"/>
        <w:ind w:left="720"/>
        <w:contextualSpacing/>
      </w:pPr>
      <w:r w:rsidRPr="009E11EC">
        <w:t>Dexa – Bone D</w:t>
      </w:r>
      <w:r w:rsidR="005433FC" w:rsidRPr="009E11EC">
        <w:t xml:space="preserve">ensity </w:t>
      </w:r>
    </w:p>
    <w:p w:rsidR="00946637" w:rsidRPr="009E11EC" w:rsidRDefault="00946637" w:rsidP="005433FC">
      <w:pPr>
        <w:spacing w:after="0" w:line="240" w:lineRule="auto"/>
        <w:ind w:left="720"/>
        <w:contextualSpacing/>
      </w:pPr>
      <w:r w:rsidRPr="009E11EC">
        <w:t>X-ray/Radiology</w:t>
      </w:r>
      <w:r w:rsidR="005433FC" w:rsidRPr="009E11EC">
        <w:t xml:space="preserve"> Services in Marceline</w:t>
      </w:r>
    </w:p>
    <w:p w:rsidR="00946637" w:rsidRPr="009E11EC" w:rsidRDefault="00946637" w:rsidP="005433FC">
      <w:pPr>
        <w:contextualSpacing/>
        <w:rPr>
          <w:b/>
          <w:u w:val="single"/>
        </w:rPr>
      </w:pPr>
      <w:r w:rsidRPr="009E11EC">
        <w:rPr>
          <w:rFonts w:ascii="Times New Roman" w:hAnsi="Times New Roman"/>
          <w:b/>
          <w:u w:val="single"/>
        </w:rPr>
        <w:t>■</w:t>
      </w:r>
      <w:r w:rsidRPr="009E11EC">
        <w:rPr>
          <w:b/>
          <w:u w:val="single"/>
        </w:rPr>
        <w:t>Cardio Rehabilitation</w:t>
      </w:r>
    </w:p>
    <w:p w:rsidR="00946637" w:rsidRPr="009E11EC" w:rsidRDefault="00946637" w:rsidP="005433FC">
      <w:pPr>
        <w:spacing w:after="0" w:line="240" w:lineRule="auto"/>
        <w:ind w:left="720"/>
        <w:contextualSpacing/>
        <w:rPr>
          <w:b/>
          <w:u w:val="single"/>
        </w:rPr>
      </w:pPr>
      <w:r w:rsidRPr="009E11EC">
        <w:t>Phase II, Phase III, &amp; Phase IV</w:t>
      </w:r>
    </w:p>
    <w:p w:rsidR="00946637" w:rsidRPr="009E11EC" w:rsidRDefault="00946637" w:rsidP="005433FC">
      <w:pPr>
        <w:contextualSpacing/>
        <w:rPr>
          <w:b/>
          <w:u w:val="single"/>
        </w:rPr>
      </w:pPr>
      <w:r w:rsidRPr="009E11EC">
        <w:rPr>
          <w:rFonts w:ascii="Times New Roman" w:hAnsi="Times New Roman"/>
          <w:b/>
          <w:u w:val="single"/>
        </w:rPr>
        <w:t>■</w:t>
      </w:r>
      <w:r w:rsidRPr="009E11EC">
        <w:rPr>
          <w:b/>
          <w:u w:val="single"/>
        </w:rPr>
        <w:t>Nutritional Services</w:t>
      </w:r>
    </w:p>
    <w:p w:rsidR="00946637" w:rsidRPr="009E11EC" w:rsidRDefault="00946637" w:rsidP="005433FC">
      <w:pPr>
        <w:spacing w:after="0" w:line="240" w:lineRule="auto"/>
        <w:ind w:left="720"/>
        <w:contextualSpacing/>
      </w:pPr>
      <w:r w:rsidRPr="009E11EC">
        <w:t xml:space="preserve">Inpatient and Outpatient </w:t>
      </w:r>
    </w:p>
    <w:p w:rsidR="00946637" w:rsidRPr="009E11EC" w:rsidRDefault="00946637" w:rsidP="005433FC">
      <w:pPr>
        <w:spacing w:after="0" w:line="240" w:lineRule="auto"/>
        <w:ind w:left="720"/>
        <w:contextualSpacing/>
        <w:rPr>
          <w:b/>
        </w:rPr>
      </w:pPr>
      <w:r w:rsidRPr="009E11EC">
        <w:t>Registered Dietician Consultation</w:t>
      </w:r>
    </w:p>
    <w:p w:rsidR="00946637" w:rsidRPr="009E11EC" w:rsidRDefault="00946637" w:rsidP="005433FC">
      <w:pPr>
        <w:contextualSpacing/>
        <w:rPr>
          <w:b/>
          <w:u w:val="single"/>
        </w:rPr>
      </w:pPr>
      <w:r w:rsidRPr="009E11EC">
        <w:rPr>
          <w:rFonts w:ascii="Times New Roman" w:hAnsi="Times New Roman"/>
          <w:b/>
          <w:u w:val="single"/>
        </w:rPr>
        <w:t>■</w:t>
      </w:r>
      <w:r w:rsidR="005433FC" w:rsidRPr="009E11EC">
        <w:rPr>
          <w:b/>
          <w:u w:val="single"/>
        </w:rPr>
        <w:t>Specialty Clinics</w:t>
      </w:r>
    </w:p>
    <w:p w:rsidR="00946637" w:rsidRPr="009E11EC" w:rsidRDefault="00946637" w:rsidP="005433FC">
      <w:pPr>
        <w:spacing w:after="0" w:line="240" w:lineRule="auto"/>
        <w:ind w:left="765"/>
        <w:contextualSpacing/>
      </w:pPr>
      <w:r w:rsidRPr="009E11EC">
        <w:t>Audiology</w:t>
      </w:r>
    </w:p>
    <w:p w:rsidR="00946637" w:rsidRPr="009E11EC" w:rsidRDefault="00946637" w:rsidP="005433FC">
      <w:pPr>
        <w:spacing w:after="0" w:line="240" w:lineRule="auto"/>
        <w:ind w:left="765"/>
        <w:contextualSpacing/>
      </w:pPr>
      <w:r w:rsidRPr="009E11EC">
        <w:t>General Surgery/Same Day Surgery</w:t>
      </w:r>
    </w:p>
    <w:p w:rsidR="00946637" w:rsidRPr="009E11EC" w:rsidRDefault="00946637" w:rsidP="005433FC">
      <w:pPr>
        <w:spacing w:after="0" w:line="240" w:lineRule="auto"/>
        <w:ind w:left="765"/>
        <w:contextualSpacing/>
      </w:pPr>
      <w:r w:rsidRPr="009E11EC">
        <w:t>Orthopedics</w:t>
      </w:r>
    </w:p>
    <w:p w:rsidR="00946637" w:rsidRPr="009E11EC" w:rsidRDefault="00946637" w:rsidP="005433FC">
      <w:pPr>
        <w:spacing w:after="0" w:line="240" w:lineRule="auto"/>
        <w:ind w:left="765"/>
        <w:contextualSpacing/>
      </w:pPr>
      <w:r w:rsidRPr="009E11EC">
        <w:t>Foot Care Specialist</w:t>
      </w:r>
      <w:r w:rsidRPr="009E11EC">
        <w:tab/>
      </w:r>
    </w:p>
    <w:p w:rsidR="00946637" w:rsidRPr="009E11EC" w:rsidRDefault="00946637" w:rsidP="005433FC">
      <w:pPr>
        <w:spacing w:after="0" w:line="240" w:lineRule="auto"/>
        <w:ind w:left="765"/>
        <w:contextualSpacing/>
      </w:pPr>
      <w:r w:rsidRPr="009E11EC">
        <w:t>Ophthalmology</w:t>
      </w:r>
    </w:p>
    <w:p w:rsidR="00946637" w:rsidRPr="009E11EC" w:rsidRDefault="00946637" w:rsidP="005433FC">
      <w:pPr>
        <w:spacing w:after="0" w:line="240" w:lineRule="auto"/>
        <w:ind w:left="765"/>
        <w:contextualSpacing/>
      </w:pPr>
      <w:r w:rsidRPr="009E11EC">
        <w:t>Gastroenterology / GI Labs</w:t>
      </w:r>
    </w:p>
    <w:p w:rsidR="00946637" w:rsidRPr="009E11EC" w:rsidRDefault="00946637" w:rsidP="005433FC">
      <w:pPr>
        <w:spacing w:after="0" w:line="240" w:lineRule="auto"/>
        <w:ind w:left="765"/>
        <w:contextualSpacing/>
      </w:pPr>
      <w:r w:rsidRPr="009E11EC">
        <w:t>Cardiology</w:t>
      </w:r>
    </w:p>
    <w:p w:rsidR="005433FC" w:rsidRPr="009E11EC" w:rsidRDefault="00946637" w:rsidP="00595FDA">
      <w:pPr>
        <w:spacing w:after="0" w:line="240" w:lineRule="auto"/>
        <w:ind w:left="765"/>
        <w:contextualSpacing/>
      </w:pPr>
      <w:r w:rsidRPr="009E11EC">
        <w:t>Dermatology</w:t>
      </w:r>
    </w:p>
    <w:p w:rsidR="00595FDA" w:rsidRDefault="00595FDA" w:rsidP="00595FDA"/>
    <w:p w:rsidR="00595FDA" w:rsidRDefault="00595FDA" w:rsidP="00595FDA"/>
    <w:p w:rsidR="00595FDA" w:rsidRDefault="00595FDA" w:rsidP="00595FDA"/>
    <w:p w:rsidR="00595FDA" w:rsidRDefault="00595FDA" w:rsidP="00595FDA"/>
    <w:p w:rsidR="00595FDA" w:rsidRDefault="00595FDA" w:rsidP="00595FDA"/>
    <w:p w:rsidR="00595FDA" w:rsidRPr="00595FDA" w:rsidRDefault="00595FDA" w:rsidP="00595FDA">
      <w:pPr>
        <w:sectPr w:rsidR="00595FDA" w:rsidRPr="00595FDA" w:rsidSect="005433FC">
          <w:type w:val="continuous"/>
          <w:pgSz w:w="12240" w:h="15840"/>
          <w:pgMar w:top="1440" w:right="1440" w:bottom="1440" w:left="1440" w:header="720" w:footer="720" w:gutter="0"/>
          <w:cols w:num="2" w:space="720"/>
          <w:docGrid w:linePitch="360"/>
        </w:sectPr>
      </w:pPr>
    </w:p>
    <w:p w:rsidR="00536E5D" w:rsidRPr="0021352D" w:rsidRDefault="00536E5D" w:rsidP="00536E5D">
      <w:pPr>
        <w:pStyle w:val="Heading3"/>
        <w:rPr>
          <w:color w:val="auto"/>
        </w:rPr>
      </w:pPr>
      <w:bookmarkStart w:id="129" w:name="_Toc229126483"/>
      <w:r>
        <w:rPr>
          <w:color w:val="auto"/>
          <w:lang w:val="en-US"/>
        </w:rPr>
        <w:lastRenderedPageBreak/>
        <w:t>Hedrick Medical Center</w:t>
      </w:r>
      <w:r w:rsidRPr="0021352D">
        <w:rPr>
          <w:color w:val="auto"/>
        </w:rPr>
        <w:t xml:space="preserve"> – Saint Luke’s Health System</w:t>
      </w:r>
      <w:bookmarkEnd w:id="129"/>
    </w:p>
    <w:p w:rsidR="00741223" w:rsidRPr="009E11EC" w:rsidRDefault="00536E5D" w:rsidP="00BF5653">
      <w:r w:rsidRPr="009E11EC">
        <w:t>Hedrick Medical Center is located at 100 Central Street in Chillicothe</w:t>
      </w:r>
      <w:r w:rsidR="00BD18F3" w:rsidRPr="009E11EC">
        <w:t>,</w:t>
      </w:r>
      <w:r w:rsidRPr="009E11EC">
        <w:t xml:space="preserve"> Missouri and is part of the Saint Luke’s Health System headquartered in Kansas City, Missouri. HMC is a 25 bed critical access which provides a full range of services.  These services include; </w:t>
      </w:r>
      <w:hyperlink r:id="rId42" w:tooltip="Cancer care" w:history="1">
        <w:r w:rsidRPr="009E11EC">
          <w:rPr>
            <w:bCs/>
            <w:lang w:val="en"/>
          </w:rPr>
          <w:t>Cancer care</w:t>
        </w:r>
      </w:hyperlink>
      <w:r w:rsidRPr="009E11EC">
        <w:rPr>
          <w:lang w:val="en"/>
        </w:rPr>
        <w:t xml:space="preserve">, </w:t>
      </w:r>
      <w:hyperlink r:id="rId43" w:tooltip="" w:history="1">
        <w:r w:rsidRPr="009E11EC">
          <w:rPr>
            <w:bCs/>
            <w:lang w:val="en"/>
          </w:rPr>
          <w:t>Diabetes centers</w:t>
        </w:r>
      </w:hyperlink>
      <w:r w:rsidRPr="009E11EC">
        <w:rPr>
          <w:lang w:val="en"/>
        </w:rPr>
        <w:t xml:space="preserve">, </w:t>
      </w:r>
      <w:hyperlink r:id="rId44" w:tooltip="" w:history="1">
        <w:r w:rsidRPr="009E11EC">
          <w:rPr>
            <w:bCs/>
            <w:lang w:val="en"/>
          </w:rPr>
          <w:t>Emergency services</w:t>
        </w:r>
      </w:hyperlink>
      <w:r w:rsidRPr="009E11EC">
        <w:rPr>
          <w:lang w:val="en"/>
        </w:rPr>
        <w:t xml:space="preserve">, </w:t>
      </w:r>
      <w:hyperlink r:id="rId45" w:tooltip="" w:history="1">
        <w:r w:rsidRPr="009E11EC">
          <w:rPr>
            <w:bCs/>
            <w:lang w:val="en"/>
          </w:rPr>
          <w:t>Gastroenterology</w:t>
        </w:r>
      </w:hyperlink>
      <w:r w:rsidRPr="009E11EC">
        <w:rPr>
          <w:lang w:val="en"/>
        </w:rPr>
        <w:t xml:space="preserve">, </w:t>
      </w:r>
      <w:hyperlink r:id="rId46" w:tooltip="" w:history="1">
        <w:r w:rsidRPr="009E11EC">
          <w:rPr>
            <w:bCs/>
            <w:lang w:val="en"/>
          </w:rPr>
          <w:t xml:space="preserve">Heart &amp; vascular </w:t>
        </w:r>
      </w:hyperlink>
      <w:hyperlink r:id="rId47" w:tooltip="" w:history="1">
        <w:r w:rsidRPr="009E11EC">
          <w:rPr>
            <w:bCs/>
            <w:lang w:val="en"/>
          </w:rPr>
          <w:t xml:space="preserve">, </w:t>
        </w:r>
      </w:hyperlink>
      <w:hyperlink r:id="rId48" w:tooltip="" w:history="1">
        <w:r w:rsidRPr="009E11EC">
          <w:rPr>
            <w:bCs/>
            <w:lang w:val="en"/>
          </w:rPr>
          <w:t>Laboratory services</w:t>
        </w:r>
      </w:hyperlink>
      <w:r w:rsidRPr="009E11EC">
        <w:rPr>
          <w:lang w:val="en"/>
        </w:rPr>
        <w:t xml:space="preserve">, </w:t>
      </w:r>
      <w:hyperlink r:id="rId49" w:tooltip="Maternity" w:history="1">
        <w:r w:rsidRPr="009E11EC">
          <w:rPr>
            <w:bCs/>
            <w:lang w:val="en"/>
          </w:rPr>
          <w:t>Maternity</w:t>
        </w:r>
      </w:hyperlink>
      <w:r w:rsidRPr="009E11EC">
        <w:rPr>
          <w:lang w:val="en"/>
        </w:rPr>
        <w:t xml:space="preserve">, </w:t>
      </w:r>
      <w:hyperlink r:id="rId50" w:tooltip="" w:history="1">
        <w:r w:rsidRPr="009E11EC">
          <w:rPr>
            <w:bCs/>
            <w:lang w:val="en"/>
          </w:rPr>
          <w:t xml:space="preserve">Pain management, </w:t>
        </w:r>
      </w:hyperlink>
      <w:hyperlink r:id="rId51" w:tooltip="" w:history="1">
        <w:r w:rsidRPr="009E11EC">
          <w:rPr>
            <w:bCs/>
            <w:lang w:val="en"/>
          </w:rPr>
          <w:t>Podiatry services (foot care)</w:t>
        </w:r>
      </w:hyperlink>
      <w:r w:rsidRPr="009E11EC">
        <w:rPr>
          <w:lang w:val="en"/>
        </w:rPr>
        <w:t xml:space="preserve">, </w:t>
      </w:r>
      <w:hyperlink r:id="rId52" w:tooltip="" w:history="1">
        <w:r w:rsidRPr="009E11EC">
          <w:rPr>
            <w:bCs/>
            <w:lang w:val="en"/>
          </w:rPr>
          <w:t>Radiology</w:t>
        </w:r>
      </w:hyperlink>
      <w:r w:rsidRPr="009E11EC">
        <w:rPr>
          <w:lang w:val="en"/>
        </w:rPr>
        <w:t xml:space="preserve"> </w:t>
      </w:r>
      <w:hyperlink r:id="rId53" w:tooltip="" w:history="1">
        <w:r w:rsidRPr="009E11EC">
          <w:rPr>
            <w:bCs/>
            <w:lang w:val="en"/>
          </w:rPr>
          <w:t>Short-term rehab (Skilled nursing care)</w:t>
        </w:r>
      </w:hyperlink>
      <w:r w:rsidRPr="009E11EC">
        <w:rPr>
          <w:lang w:val="en"/>
        </w:rPr>
        <w:t xml:space="preserve">, </w:t>
      </w:r>
      <w:hyperlink r:id="rId54" w:tooltip="Sleep disorders" w:history="1">
        <w:r w:rsidRPr="009E11EC">
          <w:rPr>
            <w:bCs/>
            <w:lang w:val="en"/>
          </w:rPr>
          <w:t>Sleep disorders</w:t>
        </w:r>
      </w:hyperlink>
      <w:r w:rsidRPr="009E11EC">
        <w:rPr>
          <w:lang w:val="en"/>
        </w:rPr>
        <w:t xml:space="preserve">, </w:t>
      </w:r>
      <w:hyperlink r:id="rId55" w:tooltip="" w:history="1">
        <w:r w:rsidRPr="009E11EC">
          <w:rPr>
            <w:bCs/>
            <w:lang w:val="en"/>
          </w:rPr>
          <w:t>Spiritual wellness</w:t>
        </w:r>
      </w:hyperlink>
      <w:r w:rsidRPr="009E11EC">
        <w:rPr>
          <w:lang w:val="en"/>
        </w:rPr>
        <w:t xml:space="preserve">, </w:t>
      </w:r>
      <w:hyperlink r:id="rId56" w:tooltip="" w:history="1">
        <w:r w:rsidRPr="009E11EC">
          <w:rPr>
            <w:bCs/>
            <w:lang w:val="en"/>
          </w:rPr>
          <w:t>Surgical services</w:t>
        </w:r>
      </w:hyperlink>
      <w:r w:rsidRPr="009E11EC">
        <w:rPr>
          <w:lang w:val="en"/>
        </w:rPr>
        <w:t xml:space="preserve">, and </w:t>
      </w:r>
      <w:hyperlink r:id="rId57" w:tooltip="" w:history="1">
        <w:r w:rsidRPr="009E11EC">
          <w:rPr>
            <w:bCs/>
            <w:lang w:val="en"/>
          </w:rPr>
          <w:t>Wound care</w:t>
        </w:r>
      </w:hyperlink>
      <w:r w:rsidRPr="009E11EC">
        <w:rPr>
          <w:lang w:val="en"/>
        </w:rPr>
        <w:t>.</w:t>
      </w:r>
    </w:p>
    <w:p w:rsidR="00BF5653" w:rsidRPr="008A4CAB" w:rsidRDefault="00EE4D35" w:rsidP="00BF5653">
      <w:pPr>
        <w:pStyle w:val="Heading3"/>
        <w:rPr>
          <w:color w:val="auto"/>
          <w:lang w:val="en-US"/>
        </w:rPr>
      </w:pPr>
      <w:bookmarkStart w:id="130" w:name="_Toc318638295"/>
      <w:bookmarkStart w:id="131" w:name="_Toc229126484"/>
      <w:r>
        <w:rPr>
          <w:color w:val="auto"/>
          <w:lang w:val="en-US"/>
        </w:rPr>
        <w:t>Wright Memorial hospital</w:t>
      </w:r>
      <w:r w:rsidR="00BF5653" w:rsidRPr="0021352D">
        <w:rPr>
          <w:color w:val="auto"/>
        </w:rPr>
        <w:t xml:space="preserve"> – </w:t>
      </w:r>
      <w:bookmarkEnd w:id="128"/>
      <w:bookmarkEnd w:id="130"/>
      <w:r w:rsidR="008A4CAB">
        <w:rPr>
          <w:color w:val="auto"/>
          <w:lang w:val="en-US"/>
        </w:rPr>
        <w:t>Saint Luke’s Health System</w:t>
      </w:r>
      <w:bookmarkEnd w:id="131"/>
    </w:p>
    <w:p w:rsidR="00EE4D35" w:rsidRPr="00245211" w:rsidRDefault="00EE4D35" w:rsidP="00EE4D35">
      <w:pPr>
        <w:autoSpaceDE w:val="0"/>
        <w:autoSpaceDN w:val="0"/>
        <w:adjustRightInd w:val="0"/>
        <w:ind w:firstLine="720"/>
        <w:contextualSpacing/>
      </w:pPr>
      <w:bookmarkStart w:id="132" w:name="_Toc292981226"/>
      <w:bookmarkStart w:id="133" w:name="_Toc318638296"/>
      <w:r w:rsidRPr="00245211">
        <w:t>Wright Memorial Hospital is a critical access hospital located in Trenton, Missouri.  Wright offers a wide range of essential health care services including</w:t>
      </w:r>
      <w:r w:rsidR="00BD18F3" w:rsidRPr="00245211">
        <w:t>;</w:t>
      </w:r>
      <w:r w:rsidRPr="00245211">
        <w:t xml:space="preserve"> respiratory care, emergency services, inpatient and outpatient surgery, specialty clinics</w:t>
      </w:r>
      <w:r w:rsidR="00BD18F3" w:rsidRPr="00245211">
        <w:t>,</w:t>
      </w:r>
      <w:r w:rsidRPr="00245211">
        <w:t xml:space="preserve"> and more.</w:t>
      </w:r>
    </w:p>
    <w:p w:rsidR="00EE4D35" w:rsidRPr="00245211" w:rsidRDefault="00EE4D35" w:rsidP="00EE4D35">
      <w:pPr>
        <w:autoSpaceDE w:val="0"/>
        <w:autoSpaceDN w:val="0"/>
        <w:adjustRightInd w:val="0"/>
        <w:ind w:firstLine="720"/>
        <w:contextualSpacing/>
      </w:pPr>
      <w:r w:rsidRPr="00245211">
        <w:t>As the seat of Grundy County, WMH is dedicated to providing the finest healthcare to residents of Trenton and surrounding areas.  As a part of Saint Luke’s Health System of Kansas City, WMH is dedicated to serving the healthcare needs of the people of the region</w:t>
      </w:r>
      <w:r w:rsidR="00BD18F3" w:rsidRPr="00245211">
        <w:t>,</w:t>
      </w:r>
      <w:r w:rsidRPr="00245211">
        <w:t xml:space="preserve"> and with a new facil</w:t>
      </w:r>
      <w:r w:rsidR="00245211" w:rsidRPr="00245211">
        <w:t>ity having opened in April 2011,</w:t>
      </w:r>
      <w:r w:rsidRPr="00245211">
        <w:t xml:space="preserve"> WMH has the foundation to continue to build its service profile.</w:t>
      </w:r>
    </w:p>
    <w:p w:rsidR="00BF5653" w:rsidRPr="0021352D" w:rsidRDefault="00BF5653" w:rsidP="00BF5653">
      <w:pPr>
        <w:pStyle w:val="Heading2"/>
        <w:rPr>
          <w:color w:val="auto"/>
        </w:rPr>
      </w:pPr>
      <w:bookmarkStart w:id="134" w:name="_Toc229126485"/>
      <w:r w:rsidRPr="0021352D">
        <w:rPr>
          <w:color w:val="auto"/>
        </w:rPr>
        <w:t>Safety Net Clinics</w:t>
      </w:r>
      <w:bookmarkEnd w:id="132"/>
      <w:bookmarkEnd w:id="133"/>
      <w:bookmarkEnd w:id="134"/>
    </w:p>
    <w:p w:rsidR="00BF5653" w:rsidRPr="00466DB6" w:rsidRDefault="00B3477E" w:rsidP="00BF5653">
      <w:pPr>
        <w:pStyle w:val="Heading3"/>
        <w:rPr>
          <w:color w:val="auto"/>
          <w:lang w:val="en-US"/>
        </w:rPr>
      </w:pPr>
      <w:bookmarkStart w:id="135" w:name="_Toc229126486"/>
      <w:r>
        <w:rPr>
          <w:color w:val="auto"/>
          <w:lang w:val="en-US"/>
        </w:rPr>
        <w:t>Linn County Health D</w:t>
      </w:r>
      <w:r w:rsidR="00536E5D">
        <w:rPr>
          <w:color w:val="auto"/>
          <w:lang w:val="en-US"/>
        </w:rPr>
        <w:t>epartment</w:t>
      </w:r>
      <w:bookmarkEnd w:id="135"/>
    </w:p>
    <w:p w:rsidR="00BF5653" w:rsidRPr="00245211" w:rsidRDefault="009665F7" w:rsidP="00BF5653">
      <w:r w:rsidRPr="00245211">
        <w:t>Linn County Health Department is apart of the Northeast Missouri Rural Health Network. The following excerpts are taken directly from the Linn County Health Department Website</w:t>
      </w:r>
      <w:r w:rsidR="00BE692F" w:rsidRPr="00245211">
        <w:t xml:space="preserve"> and </w:t>
      </w:r>
      <w:r w:rsidR="00245211" w:rsidRPr="00245211">
        <w:t>include</w:t>
      </w:r>
      <w:r w:rsidR="00BE692F" w:rsidRPr="00245211">
        <w:t xml:space="preserve"> the origin and mission of the organization</w:t>
      </w:r>
      <w:r w:rsidRPr="00245211">
        <w:t>:</w:t>
      </w:r>
    </w:p>
    <w:p w:rsidR="00021BC8" w:rsidRDefault="00021BC8" w:rsidP="00021BC8">
      <w:pPr>
        <w:pStyle w:val="Heading4"/>
      </w:pPr>
      <w:r>
        <w:t>Northeast Missouri Rural Health Network</w:t>
      </w:r>
    </w:p>
    <w:p w:rsidR="009665F7" w:rsidRPr="00EC7C99" w:rsidRDefault="00BE692F" w:rsidP="00BE692F">
      <w:pPr>
        <w:ind w:firstLine="540"/>
        <w:rPr>
          <w:rFonts w:cs="Arial"/>
        </w:rPr>
      </w:pPr>
      <w:r>
        <w:t>…</w:t>
      </w:r>
      <w:r w:rsidRPr="00245211">
        <w:rPr>
          <w:rFonts w:cs="Arial"/>
        </w:rPr>
        <w:t>The Northeast Missouri Rural Health Network was initially funded, in part, by a three-year grant (#5D06RH00046-03) from the U.S. Department of Health and Human Services (US DHHS), Public Health Service (PHS), Health Resources and Services Administration (HRSA), Bureau of Primary Health Care, Office of Rural Health Policy. The project period was from September 30, 1997 to August 31, 2000. The Network is now in its self-sufficiency phase as a non-profit corporation and secured 501(c)(3) status in October of 2000…</w:t>
      </w:r>
    </w:p>
    <w:p w:rsidR="00BE692F" w:rsidRDefault="00BE692F" w:rsidP="00BE692F">
      <w:pPr>
        <w:pStyle w:val="Heading4"/>
      </w:pPr>
      <w:r>
        <w:t xml:space="preserve">Mission </w:t>
      </w:r>
    </w:p>
    <w:p w:rsidR="00BE692F" w:rsidRPr="00EC7C99" w:rsidRDefault="00BE692F" w:rsidP="00BE692F">
      <w:pPr>
        <w:ind w:firstLine="540"/>
        <w:rPr>
          <w:rFonts w:cs="Arial"/>
        </w:rPr>
      </w:pPr>
      <w:r w:rsidRPr="00EC7C99">
        <w:rPr>
          <w:rFonts w:cs="Arial"/>
        </w:rPr>
        <w:t>…</w:t>
      </w:r>
      <w:r w:rsidRPr="00245211">
        <w:rPr>
          <w:rFonts w:cs="Arial"/>
        </w:rPr>
        <w:t xml:space="preserve">The Northeast Missouri Rural Health Network is dedicated to improving health services, promoting community health awareness, and facilitating continuing education for health care providers. A special emphasis is placed on meeting the needs of underserved populations. </w:t>
      </w:r>
      <w:r w:rsidR="00BD18F3" w:rsidRPr="00245211">
        <w:rPr>
          <w:rFonts w:cs="Arial"/>
        </w:rPr>
        <w:t>Its</w:t>
      </w:r>
      <w:r w:rsidRPr="00245211">
        <w:rPr>
          <w:rFonts w:cs="Arial"/>
        </w:rPr>
        <w:t xml:space="preserve"> aim is to achieve improvements through collaboration, coordination, and sharing of services and resources among Network members. Its service area is the northeastern region of Missouri and includes the counties of Adair, Clark, Knox, Lewis, Linn, Macon, Putnam, Schuyler, Scotland, Shelby, and Sullivan</w:t>
      </w:r>
      <w:r w:rsidR="00021BC8" w:rsidRPr="00245211">
        <w:rPr>
          <w:rFonts w:cs="Arial"/>
        </w:rPr>
        <w:t>…</w:t>
      </w:r>
    </w:p>
    <w:p w:rsidR="00BE692F" w:rsidRPr="00EC7C99" w:rsidRDefault="00BE692F" w:rsidP="00BE692F">
      <w:pPr>
        <w:ind w:firstLine="540"/>
      </w:pPr>
    </w:p>
    <w:p w:rsidR="00BF5653" w:rsidRPr="00074652" w:rsidRDefault="00BF5653" w:rsidP="00BF5653">
      <w:pPr>
        <w:pStyle w:val="Heading2"/>
        <w:rPr>
          <w:color w:val="auto"/>
        </w:rPr>
      </w:pPr>
      <w:bookmarkStart w:id="136" w:name="_Toc292981229"/>
      <w:bookmarkStart w:id="137" w:name="_Toc318638305"/>
      <w:bookmarkStart w:id="138" w:name="_Toc319254806"/>
      <w:bookmarkStart w:id="139" w:name="_Toc229126487"/>
      <w:r w:rsidRPr="00074652">
        <w:rPr>
          <w:color w:val="auto"/>
        </w:rPr>
        <w:lastRenderedPageBreak/>
        <w:t>Additional Healthcare Institutions</w:t>
      </w:r>
      <w:bookmarkEnd w:id="136"/>
      <w:bookmarkEnd w:id="137"/>
      <w:bookmarkEnd w:id="138"/>
      <w:bookmarkEnd w:id="139"/>
    </w:p>
    <w:p w:rsidR="00B61B66" w:rsidRPr="00A61FDA" w:rsidRDefault="00B61B66" w:rsidP="00B61B66">
      <w:pPr>
        <w:pStyle w:val="Heading3"/>
        <w:rPr>
          <w:color w:val="auto"/>
          <w:lang w:val="en-US"/>
        </w:rPr>
      </w:pPr>
      <w:bookmarkStart w:id="140" w:name="_Toc229126488"/>
      <w:r>
        <w:rPr>
          <w:color w:val="auto"/>
          <w:lang w:val="en-US"/>
        </w:rPr>
        <w:t>Appelgate Medical Group – Community Medical Associates – Meadville Medical Clinic</w:t>
      </w:r>
      <w:bookmarkEnd w:id="140"/>
    </w:p>
    <w:p w:rsidR="004D647D" w:rsidRPr="00245211" w:rsidRDefault="00DB27FB" w:rsidP="004D647D">
      <w:pPr>
        <w:pStyle w:val="ColorfulList-Accent11"/>
        <w:ind w:left="0"/>
      </w:pPr>
      <w:r w:rsidRPr="00245211">
        <w:t>The Apple</w:t>
      </w:r>
      <w:r w:rsidR="004D647D" w:rsidRPr="00245211">
        <w:t xml:space="preserve">gate Medical </w:t>
      </w:r>
      <w:r w:rsidR="00BD18F3" w:rsidRPr="00245211">
        <w:t>Group is located in Brookfield. T</w:t>
      </w:r>
      <w:r w:rsidR="004D647D" w:rsidRPr="00245211">
        <w:t>he group includes doctors Alex and Grace Dymek, MD’s who specialize in internal medicine and pediatrics. The clinic is o</w:t>
      </w:r>
      <w:r w:rsidR="003C240D" w:rsidRPr="00245211">
        <w:t>pen 9-5pm Monday through Friday. T</w:t>
      </w:r>
      <w:r w:rsidR="004D647D" w:rsidRPr="00245211">
        <w:t xml:space="preserve">he group also includes a nurse practitioner Karla Clubine who is available Monday through Wednesday. Community Medical Associates is located in Pershing Memorial Hospital; the clinic is open 7 days a week and is the only walk in clinic that is open all week. The hours are from 10-8pm that allows the community to have easier access to health care. The clinics also have an indigent care program that helps provide those who have a financial hardship with the ability to see a healthcare provider. The Meadville Medical Clinic is located at 101 East Hayward in Meadville, Missouri; it is comprised of medical director Jerry Wait D.O. and Kelly Dudley-Schwager FNP.  </w:t>
      </w:r>
    </w:p>
    <w:p w:rsidR="00A61FDA" w:rsidRPr="00466DB6" w:rsidRDefault="000A3F8F" w:rsidP="00A61FDA">
      <w:pPr>
        <w:pStyle w:val="Heading3"/>
        <w:rPr>
          <w:color w:val="auto"/>
          <w:lang w:val="en-US"/>
        </w:rPr>
      </w:pPr>
      <w:bookmarkStart w:id="141" w:name="_Toc229126489"/>
      <w:r>
        <w:rPr>
          <w:color w:val="auto"/>
          <w:lang w:val="en-US"/>
        </w:rPr>
        <w:t>Independent Ph</w:t>
      </w:r>
      <w:r w:rsidR="00786802">
        <w:rPr>
          <w:color w:val="auto"/>
          <w:lang w:val="en-US"/>
        </w:rPr>
        <w:t>ysician –Michael Crist, D.O.</w:t>
      </w:r>
      <w:bookmarkEnd w:id="141"/>
      <w:r w:rsidR="00786802">
        <w:rPr>
          <w:color w:val="auto"/>
          <w:lang w:val="en-US"/>
        </w:rPr>
        <w:t xml:space="preserve"> </w:t>
      </w:r>
    </w:p>
    <w:p w:rsidR="00741223" w:rsidRPr="00A82737" w:rsidRDefault="00A82737" w:rsidP="00AA4C97">
      <w:r w:rsidRPr="00A82737">
        <w:t>Dr. C</w:t>
      </w:r>
      <w:r w:rsidR="000B7939" w:rsidRPr="00A82737">
        <w:t xml:space="preserve">rist is a family practice physician that is able to treat patients from children to adults. Dr. Crist is the only independent practitioner located in Linn County that is not an employee or under contract with Pershing Health System. Dr. Crist has an office located at 814 Fairlane Dr in Brookfield, MO. </w:t>
      </w:r>
    </w:p>
    <w:p w:rsidR="00925BCE" w:rsidRPr="00A61FDA" w:rsidRDefault="00B3477E" w:rsidP="00925BCE">
      <w:pPr>
        <w:pStyle w:val="Heading3"/>
        <w:rPr>
          <w:color w:val="auto"/>
          <w:lang w:val="en-US"/>
        </w:rPr>
      </w:pPr>
      <w:bookmarkStart w:id="142" w:name="_Toc229126490"/>
      <w:r>
        <w:rPr>
          <w:color w:val="auto"/>
          <w:lang w:val="en-US"/>
        </w:rPr>
        <w:t>Assisted Living And Adult Care H</w:t>
      </w:r>
      <w:r w:rsidR="00925BCE">
        <w:rPr>
          <w:color w:val="auto"/>
          <w:lang w:val="en-US"/>
        </w:rPr>
        <w:t>omes</w:t>
      </w:r>
      <w:bookmarkEnd w:id="142"/>
    </w:p>
    <w:p w:rsidR="00925BCE" w:rsidRPr="00074652" w:rsidRDefault="00925BCE" w:rsidP="00925BCE">
      <w:r>
        <w:t>There are currently seven assisted living or adult care</w:t>
      </w:r>
      <w:r w:rsidRPr="00074652">
        <w:t xml:space="preserve"> homes for the residents of L</w:t>
      </w:r>
      <w:r w:rsidR="00B7184B">
        <w:t>inn</w:t>
      </w:r>
      <w:r>
        <w:t xml:space="preserve"> County </w:t>
      </w:r>
      <w:r w:rsidR="0005400E">
        <w:t>that provide a variety of services that cater specifically to the elderly population living in the county</w:t>
      </w:r>
      <w:r>
        <w:t>:</w:t>
      </w:r>
    </w:p>
    <w:p w:rsidR="00925BCE" w:rsidRPr="00074652" w:rsidRDefault="00B7184B" w:rsidP="00F06F10">
      <w:pPr>
        <w:pStyle w:val="ColorfulList-Accent11"/>
        <w:ind w:firstLine="720"/>
      </w:pPr>
      <w:r>
        <w:t>Bristol Manner of Marceline</w:t>
      </w:r>
      <w:r>
        <w:tab/>
      </w:r>
      <w:r>
        <w:tab/>
        <w:t xml:space="preserve">Pioneer-Skilled Nursing of America </w:t>
      </w:r>
    </w:p>
    <w:p w:rsidR="00925BCE" w:rsidRPr="00074652" w:rsidRDefault="00B7184B" w:rsidP="00F06F10">
      <w:pPr>
        <w:pStyle w:val="ColorfulList-Accent11"/>
        <w:ind w:firstLine="720"/>
      </w:pPr>
      <w:r>
        <w:t xml:space="preserve">Life Care Center of Brookfield </w:t>
      </w:r>
      <w:r w:rsidR="00925BCE">
        <w:t xml:space="preserve"> </w:t>
      </w:r>
      <w:r>
        <w:tab/>
      </w:r>
      <w:r>
        <w:tab/>
        <w:t xml:space="preserve">Ashbury Heights </w:t>
      </w:r>
    </w:p>
    <w:p w:rsidR="00755578" w:rsidRPr="00074652" w:rsidRDefault="00B7184B" w:rsidP="00755578">
      <w:pPr>
        <w:pStyle w:val="ColorfulList-Accent11"/>
        <w:ind w:firstLine="720"/>
      </w:pPr>
      <w:r>
        <w:t xml:space="preserve">Mc Larney Manner </w:t>
      </w:r>
      <w:r w:rsidR="00F06F10">
        <w:tab/>
      </w:r>
    </w:p>
    <w:p w:rsidR="00755578" w:rsidRDefault="00755578" w:rsidP="00F06F10">
      <w:pPr>
        <w:pStyle w:val="ColorfulList-Accent11"/>
        <w:ind w:firstLine="720"/>
      </w:pPr>
    </w:p>
    <w:p w:rsidR="00F06F10" w:rsidRPr="00074652" w:rsidRDefault="00F06F10" w:rsidP="00F06F10">
      <w:pPr>
        <w:pStyle w:val="ColorfulList-Accent11"/>
        <w:ind w:left="360"/>
      </w:pPr>
    </w:p>
    <w:p w:rsidR="00A61FDA" w:rsidRPr="00074652" w:rsidRDefault="00A61FDA" w:rsidP="00A61FDA">
      <w:pPr>
        <w:pStyle w:val="ColorfulList-Accent11"/>
        <w:ind w:left="0"/>
      </w:pPr>
    </w:p>
    <w:p w:rsidR="00BF5653" w:rsidRPr="00074652" w:rsidRDefault="00BF5653" w:rsidP="00BF5653">
      <w:pPr>
        <w:pStyle w:val="Heading1"/>
      </w:pPr>
      <w:r w:rsidRPr="00074652">
        <w:br w:type="page"/>
      </w:r>
      <w:bookmarkStart w:id="143" w:name="_Toc292981230"/>
      <w:bookmarkStart w:id="144" w:name="_Toc318638306"/>
      <w:bookmarkStart w:id="145" w:name="_Toc229126491"/>
      <w:r w:rsidRPr="00074652">
        <w:lastRenderedPageBreak/>
        <w:t xml:space="preserve">IV. </w:t>
      </w:r>
      <w:r w:rsidR="006F042F">
        <w:rPr>
          <w:lang w:val="en-US"/>
        </w:rPr>
        <w:t>L</w:t>
      </w:r>
      <w:r w:rsidR="00536E5D">
        <w:rPr>
          <w:lang w:val="en-US"/>
        </w:rPr>
        <w:t>inn</w:t>
      </w:r>
      <w:r w:rsidRPr="00074652">
        <w:t xml:space="preserve"> County Economic profile</w:t>
      </w:r>
      <w:bookmarkEnd w:id="143"/>
      <w:bookmarkEnd w:id="144"/>
      <w:bookmarkEnd w:id="145"/>
    </w:p>
    <w:p w:rsidR="00BF5653" w:rsidRPr="006821F6" w:rsidRDefault="00BF5653" w:rsidP="00BF5653">
      <w:r w:rsidRPr="006821F6">
        <w:t>The following section details the analysis of economic data retrieved from the Census Bureau.  The economic welfare of individuals and community often correlates with health status.  Thus, it is important to understand the economic status of L</w:t>
      </w:r>
      <w:r w:rsidR="006F042F" w:rsidRPr="006821F6">
        <w:t>i</w:t>
      </w:r>
      <w:r w:rsidR="00536E5D" w:rsidRPr="006821F6">
        <w:t>nn</w:t>
      </w:r>
      <w:r w:rsidRPr="006821F6">
        <w:t xml:space="preserve"> County.  A wide range of economic characteristics were reviewed and compared to both the state of </w:t>
      </w:r>
      <w:r w:rsidR="006F042F" w:rsidRPr="006821F6">
        <w:t>Missouri</w:t>
      </w:r>
      <w:r w:rsidRPr="006821F6">
        <w:t xml:space="preserve"> and </w:t>
      </w:r>
      <w:r w:rsidR="006821F6" w:rsidRPr="006821F6">
        <w:t>national b</w:t>
      </w:r>
      <w:r w:rsidR="00114006" w:rsidRPr="006821F6">
        <w:t>enchmark</w:t>
      </w:r>
      <w:r w:rsidR="006821F6" w:rsidRPr="006821F6">
        <w:t xml:space="preserve">s </w:t>
      </w:r>
      <w:r w:rsidRPr="006821F6">
        <w:t>in order to determine the economic profile of L</w:t>
      </w:r>
      <w:r w:rsidR="006F042F" w:rsidRPr="006821F6">
        <w:t>i</w:t>
      </w:r>
      <w:r w:rsidR="00536E5D" w:rsidRPr="006821F6">
        <w:t>nn</w:t>
      </w:r>
      <w:r w:rsidRPr="006821F6">
        <w:t xml:space="preserve"> County.  </w:t>
      </w:r>
    </w:p>
    <w:p w:rsidR="00BF5653" w:rsidRPr="00074652" w:rsidRDefault="00BF5653" w:rsidP="00BF5653">
      <w:pPr>
        <w:pStyle w:val="Heading2"/>
        <w:rPr>
          <w:color w:val="auto"/>
        </w:rPr>
      </w:pPr>
      <w:bookmarkStart w:id="146" w:name="_Toc292981231"/>
      <w:bookmarkStart w:id="147" w:name="_Toc318638307"/>
      <w:bookmarkStart w:id="148" w:name="_Toc229126492"/>
      <w:r w:rsidRPr="00074652">
        <w:rPr>
          <w:color w:val="auto"/>
        </w:rPr>
        <w:t>Employment Stat</w:t>
      </w:r>
      <w:bookmarkEnd w:id="146"/>
      <w:bookmarkEnd w:id="147"/>
      <w:r w:rsidR="00CD2059">
        <w:rPr>
          <w:color w:val="auto"/>
        </w:rPr>
        <w:t>istics</w:t>
      </w:r>
      <w:bookmarkEnd w:id="148"/>
    </w:p>
    <w:p w:rsidR="00BF5653" w:rsidRPr="00074652" w:rsidRDefault="00FA23ED" w:rsidP="00BF5653">
      <w:pPr>
        <w:pStyle w:val="Heading3"/>
        <w:rPr>
          <w:color w:val="auto"/>
        </w:rPr>
      </w:pPr>
      <w:bookmarkStart w:id="149" w:name="_Toc292981232"/>
      <w:bookmarkStart w:id="150" w:name="_Toc318638308"/>
      <w:bookmarkStart w:id="151" w:name="_Toc229126493"/>
      <w:r>
        <w:rPr>
          <w:noProof/>
          <w:lang w:val="en-US" w:eastAsia="en-US"/>
        </w:rPr>
        <w:drawing>
          <wp:anchor distT="12203" distB="17287" distL="126499" distR="132599" simplePos="0" relativeHeight="251667456" behindDoc="1" locked="0" layoutInCell="1" allowOverlap="1">
            <wp:simplePos x="0" y="0"/>
            <wp:positionH relativeFrom="column">
              <wp:posOffset>240799</wp:posOffset>
            </wp:positionH>
            <wp:positionV relativeFrom="paragraph">
              <wp:posOffset>327163</wp:posOffset>
            </wp:positionV>
            <wp:extent cx="5488940" cy="3594100"/>
            <wp:effectExtent l="19050" t="19050" r="16510" b="25400"/>
            <wp:wrapNone/>
            <wp:docPr id="9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page">
              <wp14:pctWidth>0</wp14:pctWidth>
            </wp14:sizeRelH>
            <wp14:sizeRelV relativeFrom="page">
              <wp14:pctHeight>0</wp14:pctHeight>
            </wp14:sizeRelV>
          </wp:anchor>
        </w:drawing>
      </w:r>
      <w:r w:rsidR="00BF5653" w:rsidRPr="00074652">
        <w:rPr>
          <w:color w:val="auto"/>
        </w:rPr>
        <w:t>Employment Status – Figure 4.1</w:t>
      </w:r>
      <w:bookmarkEnd w:id="149"/>
      <w:bookmarkEnd w:id="150"/>
      <w:bookmarkEnd w:id="151"/>
    </w:p>
    <w:p w:rsidR="00BF5653" w:rsidRPr="00074652" w:rsidRDefault="00FA23ED" w:rsidP="0047345C">
      <w:pPr>
        <w:tabs>
          <w:tab w:val="left" w:pos="307"/>
        </w:tabs>
      </w:pPr>
      <w:r>
        <w:rPr>
          <w:noProof/>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12700</wp:posOffset>
                </wp:positionV>
                <wp:extent cx="4114800" cy="914400"/>
                <wp:effectExtent l="0" t="3175" r="0" b="0"/>
                <wp:wrapTight wrapText="bothSides">
                  <wp:wrapPolygon edited="0">
                    <wp:start x="0" y="0"/>
                    <wp:lineTo x="21600" y="0"/>
                    <wp:lineTo x="21600" y="21600"/>
                    <wp:lineTo x="0" y="21600"/>
                    <wp:lineTo x="0" y="0"/>
                  </wp:wrapPolygon>
                </wp:wrapTight>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2BE3" w:rsidRPr="00B77E9F" w:rsidRDefault="00CC2BE3">
                            <w:pPr>
                              <w:rPr>
                                <w:sz w:val="44"/>
                                <w:szCs w:val="44"/>
                              </w:rPr>
                            </w:pPr>
                            <w:r w:rsidRPr="00B77E9F">
                              <w:rPr>
                                <w:sz w:val="44"/>
                                <w:szCs w:val="44"/>
                              </w:rPr>
                              <w:t xml:space="preserve">Employment Status by Percentage of Population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8" type="#_x0000_t202" style="position:absolute;margin-left:90pt;margin-top:1pt;width:324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" filled="f" stroked="f">
                <v:textbox inset=",7.2pt,,7.2pt">
                  <w:txbxContent>
                    <w:p w:rsidR="00CC2BE3" w:rsidRPr="00B77E9F" w:rsidRDefault="00CC2BE3">
                      <w:pPr>
                        <w:rPr>
                          <w:sz w:val="44"/>
                          <w:szCs w:val="44"/>
                        </w:rPr>
                      </w:pPr>
                      <w:r w:rsidRPr="00B77E9F">
                        <w:rPr>
                          <w:sz w:val="44"/>
                          <w:szCs w:val="44"/>
                        </w:rPr>
                        <w:t xml:space="preserve">Employment Status by Percentage of Population </w:t>
                      </w:r>
                    </w:p>
                  </w:txbxContent>
                </v:textbox>
                <w10:wrap type="tight"/>
              </v:shape>
            </w:pict>
          </mc:Fallback>
        </mc:AlternateContent>
      </w:r>
      <w:r w:rsidR="0047345C">
        <w:tab/>
      </w:r>
    </w:p>
    <w:p w:rsidR="00A63BE1" w:rsidRDefault="00A63BE1" w:rsidP="00A63BE1">
      <w:pPr>
        <w:pStyle w:val="Heading5"/>
        <w:rPr>
          <w:rStyle w:val="SubtleReference1"/>
          <w:rFonts w:ascii="Cambria" w:hAnsi="Cambria"/>
          <w:i w:val="0"/>
          <w:color w:val="auto"/>
          <w:lang w:val="en-US"/>
        </w:rPr>
      </w:pPr>
    </w:p>
    <w:p w:rsidR="00A63BE1" w:rsidRDefault="00A63BE1" w:rsidP="00A63BE1">
      <w:pPr>
        <w:pStyle w:val="Heading5"/>
        <w:rPr>
          <w:rStyle w:val="SubtleReference1"/>
          <w:rFonts w:ascii="Cambria" w:hAnsi="Cambria"/>
          <w:i w:val="0"/>
          <w:color w:val="auto"/>
          <w:lang w:val="en-US"/>
        </w:rPr>
      </w:pPr>
    </w:p>
    <w:p w:rsidR="00A63BE1" w:rsidRDefault="00A63BE1" w:rsidP="00A63BE1">
      <w:pPr>
        <w:pStyle w:val="Heading5"/>
        <w:rPr>
          <w:rStyle w:val="SubtleReference1"/>
          <w:rFonts w:ascii="Cambria" w:hAnsi="Cambria"/>
          <w:i w:val="0"/>
          <w:color w:val="auto"/>
          <w:lang w:val="en-US"/>
        </w:rPr>
      </w:pPr>
    </w:p>
    <w:p w:rsidR="00A63BE1" w:rsidRDefault="00A63BE1" w:rsidP="00A63BE1">
      <w:pPr>
        <w:pStyle w:val="Heading5"/>
        <w:rPr>
          <w:rStyle w:val="SubtleReference1"/>
          <w:rFonts w:ascii="Cambria" w:hAnsi="Cambria"/>
          <w:i w:val="0"/>
          <w:color w:val="auto"/>
          <w:lang w:val="en-US"/>
        </w:rPr>
      </w:pPr>
    </w:p>
    <w:p w:rsidR="00A63BE1" w:rsidRDefault="00A63BE1" w:rsidP="00A63BE1">
      <w:pPr>
        <w:pStyle w:val="Heading5"/>
        <w:rPr>
          <w:rStyle w:val="SubtleReference1"/>
          <w:rFonts w:ascii="Cambria" w:hAnsi="Cambria"/>
          <w:i w:val="0"/>
          <w:color w:val="auto"/>
          <w:lang w:val="en-US"/>
        </w:rPr>
      </w:pPr>
    </w:p>
    <w:p w:rsidR="00A63BE1" w:rsidRDefault="00A63BE1" w:rsidP="00A63BE1">
      <w:pPr>
        <w:pStyle w:val="Heading5"/>
        <w:rPr>
          <w:rStyle w:val="SubtleReference1"/>
          <w:rFonts w:ascii="Cambria" w:hAnsi="Cambria"/>
          <w:i w:val="0"/>
          <w:color w:val="auto"/>
          <w:lang w:val="en-US"/>
        </w:rPr>
      </w:pPr>
    </w:p>
    <w:p w:rsidR="00A63BE1" w:rsidRDefault="00A63BE1" w:rsidP="00A63BE1">
      <w:pPr>
        <w:pStyle w:val="Heading5"/>
        <w:rPr>
          <w:rStyle w:val="SubtleReference1"/>
          <w:rFonts w:ascii="Cambria" w:hAnsi="Cambria"/>
          <w:i w:val="0"/>
          <w:color w:val="auto"/>
          <w:lang w:val="en-US"/>
        </w:rPr>
      </w:pPr>
    </w:p>
    <w:p w:rsidR="00A63BE1" w:rsidRDefault="00A63BE1" w:rsidP="00A63BE1">
      <w:pPr>
        <w:pStyle w:val="Heading5"/>
        <w:rPr>
          <w:rStyle w:val="SubtleReference1"/>
          <w:rFonts w:ascii="Cambria" w:hAnsi="Cambria"/>
          <w:i w:val="0"/>
          <w:color w:val="auto"/>
          <w:lang w:val="en-US"/>
        </w:rPr>
      </w:pPr>
    </w:p>
    <w:p w:rsidR="006B759B" w:rsidRDefault="006B759B" w:rsidP="00A63BE1">
      <w:pPr>
        <w:pStyle w:val="Heading5"/>
        <w:rPr>
          <w:rStyle w:val="SubtleReference1"/>
          <w:rFonts w:ascii="Cambria" w:hAnsi="Cambria"/>
          <w:i w:val="0"/>
          <w:color w:val="auto"/>
          <w:lang w:val="en-US"/>
        </w:rPr>
      </w:pPr>
    </w:p>
    <w:p w:rsidR="00A63BE1" w:rsidRPr="00A63BE1" w:rsidRDefault="00BF5653" w:rsidP="00A63BE1">
      <w:pPr>
        <w:pStyle w:val="Heading5"/>
        <w:rPr>
          <w:color w:val="auto"/>
          <w:lang w:val="en-US"/>
        </w:rPr>
      </w:pPr>
      <w:r w:rsidRPr="00074652">
        <w:rPr>
          <w:rStyle w:val="SubtleReference1"/>
          <w:rFonts w:ascii="Cambria" w:hAnsi="Cambria"/>
          <w:i w:val="0"/>
          <w:color w:val="auto"/>
        </w:rPr>
        <w:t>Discussion</w:t>
      </w:r>
    </w:p>
    <w:p w:rsidR="00F60744" w:rsidRPr="00F944FB" w:rsidRDefault="00F60744" w:rsidP="00F60744">
      <w:r w:rsidRPr="00F944FB">
        <w:t>Figure 4.1 describes the employment status of Linn County as it compares to both Missouri and national figures using the latest census data (2010).  The figure shows that Linn County is below both state and national levels of employment.  Related to the lower levels of employment, Linn County also has a higher percent of the population not in the labor force.  While not as many individuals are employed, Linn County has a lower unemployment rate than both the state and national level.  One other aspect of note is the high percentage of people not in labor force</w:t>
      </w:r>
      <w:r w:rsidR="003C240D" w:rsidRPr="00F944FB">
        <w:t>,</w:t>
      </w:r>
      <w:r w:rsidRPr="00F944FB">
        <w:t xml:space="preserve"> </w:t>
      </w:r>
      <w:r w:rsidR="00F944FB" w:rsidRPr="00F944FB">
        <w:t>which</w:t>
      </w:r>
      <w:r w:rsidR="003C240D" w:rsidRPr="00F944FB">
        <w:t xml:space="preserve"> </w:t>
      </w:r>
      <w:r w:rsidRPr="00F944FB">
        <w:t xml:space="preserve">could be attributed to the incarcerated population within the county.  </w:t>
      </w:r>
    </w:p>
    <w:p w:rsidR="00BF5653" w:rsidRDefault="00BF5653" w:rsidP="00BF5653"/>
    <w:p w:rsidR="004E40AF" w:rsidRPr="00074652" w:rsidRDefault="004E40AF" w:rsidP="00BF5653"/>
    <w:p w:rsidR="00BF5653" w:rsidRPr="00074652" w:rsidRDefault="00FA23ED" w:rsidP="00BF5653">
      <w:pPr>
        <w:pStyle w:val="Heading3"/>
        <w:rPr>
          <w:color w:val="auto"/>
        </w:rPr>
      </w:pPr>
      <w:bookmarkStart w:id="152" w:name="_Toc292981233"/>
      <w:bookmarkStart w:id="153" w:name="_Toc318638309"/>
      <w:bookmarkStart w:id="154" w:name="_Toc229126494"/>
      <w:r>
        <w:rPr>
          <w:noProof/>
          <w:lang w:val="en-US" w:eastAsia="en-US"/>
        </w:rPr>
        <w:lastRenderedPageBreak/>
        <w:drawing>
          <wp:anchor distT="9419" distB="15894" distL="124097" distR="128996" simplePos="0" relativeHeight="251666432" behindDoc="1" locked="0" layoutInCell="1" allowOverlap="1">
            <wp:simplePos x="0" y="0"/>
            <wp:positionH relativeFrom="column">
              <wp:posOffset>581297</wp:posOffset>
            </wp:positionH>
            <wp:positionV relativeFrom="paragraph">
              <wp:posOffset>238019</wp:posOffset>
            </wp:positionV>
            <wp:extent cx="4775835" cy="2946400"/>
            <wp:effectExtent l="19050" t="19050" r="24765" b="25400"/>
            <wp:wrapNone/>
            <wp:docPr id="8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page">
              <wp14:pctWidth>0</wp14:pctWidth>
            </wp14:sizeRelH>
            <wp14:sizeRelV relativeFrom="page">
              <wp14:pctHeight>0</wp14:pctHeight>
            </wp14:sizeRelV>
          </wp:anchor>
        </w:drawing>
      </w:r>
      <w:r w:rsidR="00BF5653" w:rsidRPr="00074652">
        <w:rPr>
          <w:color w:val="auto"/>
        </w:rPr>
        <w:t>Class of Worker – Figure 4.2</w:t>
      </w:r>
      <w:bookmarkEnd w:id="152"/>
      <w:bookmarkEnd w:id="153"/>
      <w:bookmarkEnd w:id="154"/>
    </w:p>
    <w:p w:rsidR="00BF5653" w:rsidRPr="00074652" w:rsidRDefault="00BF5653" w:rsidP="00BF5653"/>
    <w:p w:rsidR="007564B9" w:rsidRDefault="007564B9" w:rsidP="00BF5653">
      <w:pPr>
        <w:pStyle w:val="Heading5"/>
        <w:rPr>
          <w:rStyle w:val="SubtleReference1"/>
          <w:rFonts w:ascii="Cambria" w:hAnsi="Cambria"/>
          <w:i w:val="0"/>
          <w:color w:val="auto"/>
          <w:lang w:val="en-US"/>
        </w:rPr>
      </w:pPr>
    </w:p>
    <w:p w:rsidR="007564B9" w:rsidRDefault="007564B9" w:rsidP="00BF5653">
      <w:pPr>
        <w:pStyle w:val="Heading5"/>
        <w:rPr>
          <w:rStyle w:val="SubtleReference1"/>
          <w:rFonts w:ascii="Cambria" w:hAnsi="Cambria"/>
          <w:i w:val="0"/>
          <w:color w:val="auto"/>
          <w:lang w:val="en-US"/>
        </w:rPr>
      </w:pPr>
    </w:p>
    <w:p w:rsidR="007564B9" w:rsidRDefault="007564B9" w:rsidP="00BF5653">
      <w:pPr>
        <w:pStyle w:val="Heading5"/>
        <w:rPr>
          <w:rStyle w:val="SubtleReference1"/>
          <w:rFonts w:ascii="Cambria" w:hAnsi="Cambria"/>
          <w:i w:val="0"/>
          <w:color w:val="auto"/>
          <w:lang w:val="en-US"/>
        </w:rPr>
      </w:pPr>
    </w:p>
    <w:p w:rsidR="007564B9" w:rsidRDefault="007564B9" w:rsidP="00BF5653">
      <w:pPr>
        <w:pStyle w:val="Heading5"/>
        <w:rPr>
          <w:rStyle w:val="SubtleReference1"/>
          <w:rFonts w:ascii="Cambria" w:hAnsi="Cambria"/>
          <w:i w:val="0"/>
          <w:color w:val="auto"/>
          <w:lang w:val="en-US"/>
        </w:rPr>
      </w:pPr>
    </w:p>
    <w:p w:rsidR="007564B9" w:rsidRDefault="007564B9" w:rsidP="00BF5653">
      <w:pPr>
        <w:pStyle w:val="Heading5"/>
        <w:rPr>
          <w:rStyle w:val="SubtleReference1"/>
          <w:rFonts w:ascii="Cambria" w:hAnsi="Cambria"/>
          <w:i w:val="0"/>
          <w:color w:val="auto"/>
          <w:lang w:val="en-US"/>
        </w:rPr>
      </w:pPr>
    </w:p>
    <w:p w:rsidR="007564B9" w:rsidRDefault="007564B9" w:rsidP="00BF5653">
      <w:pPr>
        <w:pStyle w:val="Heading5"/>
        <w:rPr>
          <w:rStyle w:val="SubtleReference1"/>
          <w:rFonts w:ascii="Cambria" w:hAnsi="Cambria"/>
          <w:i w:val="0"/>
          <w:color w:val="auto"/>
          <w:lang w:val="en-US"/>
        </w:rPr>
      </w:pPr>
    </w:p>
    <w:p w:rsidR="007564B9" w:rsidRDefault="007564B9" w:rsidP="00BF5653">
      <w:pPr>
        <w:pStyle w:val="Heading5"/>
        <w:rPr>
          <w:rStyle w:val="SubtleReference1"/>
          <w:rFonts w:ascii="Cambria" w:hAnsi="Cambria"/>
          <w:i w:val="0"/>
          <w:color w:val="auto"/>
          <w:lang w:val="en-US"/>
        </w:rPr>
      </w:pPr>
    </w:p>
    <w:p w:rsidR="00BF5653" w:rsidRPr="00074652" w:rsidRDefault="00BF5653" w:rsidP="004E40AF">
      <w:pPr>
        <w:pStyle w:val="Heading5"/>
        <w:rPr>
          <w:rStyle w:val="SubtleReference1"/>
          <w:rFonts w:ascii="Cambria" w:hAnsi="Cambria"/>
          <w:i w:val="0"/>
          <w:color w:val="auto"/>
        </w:rPr>
      </w:pPr>
      <w:r w:rsidRPr="00074652">
        <w:rPr>
          <w:rStyle w:val="SubtleReference1"/>
          <w:rFonts w:ascii="Cambria" w:hAnsi="Cambria"/>
          <w:i w:val="0"/>
          <w:color w:val="auto"/>
        </w:rPr>
        <w:t>Discussion</w:t>
      </w:r>
    </w:p>
    <w:p w:rsidR="004E40AF" w:rsidRPr="00F944FB" w:rsidRDefault="004E40AF" w:rsidP="004E40AF">
      <w:bookmarkStart w:id="155" w:name="_Toc292981234"/>
      <w:bookmarkStart w:id="156" w:name="_Toc318638310"/>
      <w:r w:rsidRPr="00F944FB">
        <w:t>The various types of worker classes present different opportunities for health insurance to individuals.  Understanding the different types of worker classes in Linn County can provide a picture of the available health insurance options for the community.  Figure 4.2 shows that Linn Co</w:t>
      </w:r>
      <w:r w:rsidR="00C02759" w:rsidRPr="00F944FB">
        <w:t>unty has about the same level as the Missouri of</w:t>
      </w:r>
      <w:r w:rsidRPr="00F944FB">
        <w:t xml:space="preserve"> government employees and less than the natio</w:t>
      </w:r>
      <w:r w:rsidR="003C240D" w:rsidRPr="00F944FB">
        <w:t>nal average. T</w:t>
      </w:r>
      <w:r w:rsidRPr="00F944FB">
        <w:t xml:space="preserve">he county also has a higher level of individuals who are self-employed and conversely, has a slightly lower portion of private </w:t>
      </w:r>
      <w:r w:rsidR="00D2730B" w:rsidRPr="00F944FB">
        <w:t>wageworkers</w:t>
      </w:r>
      <w:r w:rsidRPr="00F944FB">
        <w:t>.</w:t>
      </w:r>
    </w:p>
    <w:p w:rsidR="00BF5653" w:rsidRPr="00074652" w:rsidRDefault="00BF5653" w:rsidP="00BF5653">
      <w:pPr>
        <w:pStyle w:val="Heading2"/>
        <w:rPr>
          <w:color w:val="auto"/>
        </w:rPr>
      </w:pPr>
      <w:bookmarkStart w:id="157" w:name="_Toc229126495"/>
      <w:r w:rsidRPr="00074652">
        <w:rPr>
          <w:color w:val="auto"/>
        </w:rPr>
        <w:t>Income Statistics</w:t>
      </w:r>
      <w:bookmarkEnd w:id="155"/>
      <w:bookmarkEnd w:id="156"/>
      <w:bookmarkEnd w:id="157"/>
    </w:p>
    <w:p w:rsidR="00BF5653" w:rsidRPr="00074652" w:rsidRDefault="00BF5653" w:rsidP="00BF5653">
      <w:pPr>
        <w:pStyle w:val="Heading3"/>
        <w:rPr>
          <w:color w:val="auto"/>
        </w:rPr>
      </w:pPr>
      <w:bookmarkStart w:id="158" w:name="_Toc292981235"/>
      <w:bookmarkStart w:id="159" w:name="_Toc318638311"/>
      <w:bookmarkStart w:id="160" w:name="_Toc229126496"/>
      <w:r w:rsidRPr="00074652">
        <w:rPr>
          <w:color w:val="auto"/>
        </w:rPr>
        <w:t>Families Below Federal Poverty Level – Figure 4.3</w:t>
      </w:r>
      <w:bookmarkEnd w:id="158"/>
      <w:bookmarkEnd w:id="159"/>
      <w:bookmarkEnd w:id="160"/>
    </w:p>
    <w:tbl>
      <w:tblPr>
        <w:tblW w:w="0" w:type="auto"/>
        <w:tblBorders>
          <w:top w:val="single" w:sz="18" w:space="0" w:color="6076B4"/>
          <w:left w:val="single" w:sz="18" w:space="0" w:color="6076B4"/>
          <w:bottom w:val="single" w:sz="18" w:space="0" w:color="6076B4"/>
          <w:right w:val="single" w:sz="18" w:space="0" w:color="6076B4"/>
          <w:insideH w:val="single" w:sz="18" w:space="0" w:color="6076B4"/>
          <w:insideV w:val="single" w:sz="18" w:space="0" w:color="6076B4"/>
        </w:tblBorders>
        <w:tblLook w:val="00A0" w:firstRow="1" w:lastRow="0" w:firstColumn="1" w:lastColumn="0" w:noHBand="0" w:noVBand="0"/>
      </w:tblPr>
      <w:tblGrid>
        <w:gridCol w:w="2394"/>
        <w:gridCol w:w="2394"/>
        <w:gridCol w:w="2394"/>
        <w:gridCol w:w="2394"/>
      </w:tblGrid>
      <w:tr w:rsidR="00BF5653" w:rsidRPr="00074652">
        <w:tc>
          <w:tcPr>
            <w:tcW w:w="2394" w:type="dxa"/>
          </w:tcPr>
          <w:p w:rsidR="00BF5653" w:rsidRPr="00074652" w:rsidRDefault="00BF5653" w:rsidP="00BF5653">
            <w:pPr>
              <w:spacing w:after="0" w:line="240" w:lineRule="auto"/>
              <w:rPr>
                <w:b/>
                <w:bCs/>
              </w:rPr>
            </w:pPr>
          </w:p>
        </w:tc>
        <w:tc>
          <w:tcPr>
            <w:tcW w:w="2394" w:type="dxa"/>
          </w:tcPr>
          <w:p w:rsidR="00BF5653" w:rsidRPr="00074652" w:rsidRDefault="00BF5653" w:rsidP="00485FC8">
            <w:pPr>
              <w:spacing w:after="0" w:line="240" w:lineRule="auto"/>
              <w:jc w:val="center"/>
              <w:rPr>
                <w:b/>
                <w:bCs/>
              </w:rPr>
            </w:pPr>
            <w:r w:rsidRPr="00074652">
              <w:rPr>
                <w:bCs/>
              </w:rPr>
              <w:t>L</w:t>
            </w:r>
            <w:r w:rsidR="00EA5F41">
              <w:rPr>
                <w:bCs/>
              </w:rPr>
              <w:t>in</w:t>
            </w:r>
            <w:r w:rsidR="00485FC8">
              <w:rPr>
                <w:bCs/>
              </w:rPr>
              <w:t>n</w:t>
            </w:r>
            <w:r w:rsidRPr="00074652">
              <w:rPr>
                <w:bCs/>
              </w:rPr>
              <w:t xml:space="preserve"> County</w:t>
            </w:r>
          </w:p>
        </w:tc>
        <w:tc>
          <w:tcPr>
            <w:tcW w:w="2394" w:type="dxa"/>
          </w:tcPr>
          <w:p w:rsidR="00BF5653" w:rsidRPr="00074652" w:rsidRDefault="00485FC8" w:rsidP="00BF5653">
            <w:pPr>
              <w:spacing w:after="0" w:line="240" w:lineRule="auto"/>
              <w:jc w:val="center"/>
              <w:rPr>
                <w:b/>
                <w:bCs/>
              </w:rPr>
            </w:pPr>
            <w:r>
              <w:rPr>
                <w:bCs/>
              </w:rPr>
              <w:t>Missouri</w:t>
            </w:r>
          </w:p>
        </w:tc>
        <w:tc>
          <w:tcPr>
            <w:tcW w:w="2394" w:type="dxa"/>
          </w:tcPr>
          <w:p w:rsidR="00BF5653" w:rsidRPr="00074652" w:rsidRDefault="00BF5653" w:rsidP="00BF5653">
            <w:pPr>
              <w:spacing w:after="0" w:line="240" w:lineRule="auto"/>
              <w:jc w:val="center"/>
              <w:rPr>
                <w:b/>
                <w:bCs/>
              </w:rPr>
            </w:pPr>
            <w:r w:rsidRPr="00074652">
              <w:rPr>
                <w:bCs/>
              </w:rPr>
              <w:t>United States</w:t>
            </w:r>
          </w:p>
        </w:tc>
      </w:tr>
      <w:tr w:rsidR="00BF5653" w:rsidRPr="00074652">
        <w:tc>
          <w:tcPr>
            <w:tcW w:w="2394" w:type="dxa"/>
            <w:shd w:val="clear" w:color="auto" w:fill="D7DCEC"/>
          </w:tcPr>
          <w:p w:rsidR="00BF5653" w:rsidRPr="00074652" w:rsidRDefault="00BF5653" w:rsidP="00BF5653">
            <w:pPr>
              <w:spacing w:after="0" w:line="240" w:lineRule="auto"/>
              <w:rPr>
                <w:b/>
                <w:bCs/>
              </w:rPr>
            </w:pPr>
            <w:r w:rsidRPr="00074652">
              <w:rPr>
                <w:b/>
                <w:bCs/>
              </w:rPr>
              <w:t>Percent of Families Below Federal Poverty Level</w:t>
            </w:r>
          </w:p>
        </w:tc>
        <w:tc>
          <w:tcPr>
            <w:tcW w:w="2394" w:type="dxa"/>
            <w:shd w:val="clear" w:color="auto" w:fill="D7DCEC"/>
          </w:tcPr>
          <w:p w:rsidR="00BF5653" w:rsidRPr="00074652" w:rsidRDefault="00BF5653" w:rsidP="00BF5653">
            <w:pPr>
              <w:spacing w:after="0" w:line="240" w:lineRule="auto"/>
              <w:jc w:val="center"/>
            </w:pPr>
          </w:p>
          <w:p w:rsidR="00BF5653" w:rsidRPr="00074652" w:rsidRDefault="00EA5F41" w:rsidP="00BF5653">
            <w:pPr>
              <w:spacing w:after="0" w:line="240" w:lineRule="auto"/>
              <w:jc w:val="center"/>
            </w:pPr>
            <w:r>
              <w:t>11</w:t>
            </w:r>
            <w:r w:rsidR="00485FC8">
              <w:t>.8</w:t>
            </w:r>
            <w:r w:rsidR="00BF5653" w:rsidRPr="00074652">
              <w:t>%</w:t>
            </w:r>
          </w:p>
        </w:tc>
        <w:tc>
          <w:tcPr>
            <w:tcW w:w="2394" w:type="dxa"/>
            <w:shd w:val="clear" w:color="auto" w:fill="D7DCEC"/>
          </w:tcPr>
          <w:p w:rsidR="00BF5653" w:rsidRPr="00074652" w:rsidRDefault="00BF5653" w:rsidP="00BF5653">
            <w:pPr>
              <w:spacing w:after="0" w:line="240" w:lineRule="auto"/>
              <w:jc w:val="center"/>
            </w:pPr>
          </w:p>
          <w:p w:rsidR="00BF5653" w:rsidRPr="00074652" w:rsidRDefault="00485FC8" w:rsidP="00BF5653">
            <w:pPr>
              <w:spacing w:after="0" w:line="240" w:lineRule="auto"/>
              <w:jc w:val="center"/>
            </w:pPr>
            <w:r>
              <w:t>10</w:t>
            </w:r>
            <w:r w:rsidR="00BF5653" w:rsidRPr="00074652">
              <w:t>%</w:t>
            </w:r>
          </w:p>
        </w:tc>
        <w:tc>
          <w:tcPr>
            <w:tcW w:w="2394" w:type="dxa"/>
            <w:shd w:val="clear" w:color="auto" w:fill="D7DCEC"/>
          </w:tcPr>
          <w:p w:rsidR="00BF5653" w:rsidRPr="00074652" w:rsidRDefault="00BF5653" w:rsidP="00BF5653">
            <w:pPr>
              <w:spacing w:after="0" w:line="240" w:lineRule="auto"/>
              <w:jc w:val="center"/>
            </w:pPr>
          </w:p>
          <w:p w:rsidR="00BF5653" w:rsidRPr="00074652" w:rsidRDefault="00485FC8" w:rsidP="00BF5653">
            <w:pPr>
              <w:spacing w:after="0" w:line="240" w:lineRule="auto"/>
              <w:jc w:val="center"/>
            </w:pPr>
            <w:r>
              <w:t>10.1</w:t>
            </w:r>
            <w:r w:rsidR="00BF5653" w:rsidRPr="00074652">
              <w:t>%</w:t>
            </w:r>
          </w:p>
        </w:tc>
      </w:tr>
    </w:tbl>
    <w:p w:rsidR="00BF5653" w:rsidRPr="00074652" w:rsidRDefault="00BF5653" w:rsidP="00BF5653">
      <w:pPr>
        <w:pStyle w:val="Heading5"/>
        <w:rPr>
          <w:rStyle w:val="SubtleReference1"/>
          <w:rFonts w:ascii="Cambria" w:hAnsi="Cambria"/>
          <w:i w:val="0"/>
          <w:color w:val="auto"/>
        </w:rPr>
      </w:pPr>
      <w:r w:rsidRPr="00074652">
        <w:rPr>
          <w:rStyle w:val="SubtleReference1"/>
          <w:rFonts w:ascii="Cambria" w:hAnsi="Cambria"/>
          <w:i w:val="0"/>
          <w:color w:val="auto"/>
        </w:rPr>
        <w:t>Discussion</w:t>
      </w:r>
    </w:p>
    <w:p w:rsidR="00EA5F41" w:rsidRPr="00F944FB" w:rsidRDefault="00EA5F41" w:rsidP="00EA5F41">
      <w:bookmarkStart w:id="161" w:name="_Toc318638312"/>
      <w:r w:rsidRPr="00F944FB">
        <w:t xml:space="preserve">Conversely to the median household income, families below the federal poverty level (FPL) often have less access to healthcare.  Families that fall below the FPL must be provided with additional, more affordable services by the county to maintain a healthy status.  Understanding the percentage of families that fall below the FPL gives insight as to how many additional services must be provided.  According to Figure 4.3, Linn County has a higher percentage of families below the FPL than both the state of Missouri and the U.S. as a whole.  The county must continue providing available services to those below the FPL. </w:t>
      </w:r>
    </w:p>
    <w:p w:rsidR="00BF5653" w:rsidRPr="00074652" w:rsidRDefault="00D2730B" w:rsidP="00BF5653">
      <w:pPr>
        <w:pStyle w:val="Heading2"/>
        <w:rPr>
          <w:color w:val="auto"/>
        </w:rPr>
      </w:pPr>
      <w:bookmarkStart w:id="162" w:name="_Toc229126497"/>
      <w:r>
        <w:rPr>
          <w:color w:val="auto"/>
        </w:rPr>
        <w:lastRenderedPageBreak/>
        <w:t>Local Factors A</w:t>
      </w:r>
      <w:r w:rsidR="00BF5653">
        <w:rPr>
          <w:color w:val="auto"/>
        </w:rPr>
        <w:t xml:space="preserve">ffecting </w:t>
      </w:r>
      <w:r>
        <w:rPr>
          <w:color w:val="auto"/>
        </w:rPr>
        <w:t>H</w:t>
      </w:r>
      <w:r w:rsidR="00BF5653">
        <w:rPr>
          <w:color w:val="auto"/>
        </w:rPr>
        <w:t>ealth</w:t>
      </w:r>
      <w:bookmarkEnd w:id="161"/>
      <w:bookmarkEnd w:id="162"/>
    </w:p>
    <w:p w:rsidR="00BF5653" w:rsidRPr="00074652" w:rsidRDefault="00FA23ED" w:rsidP="00BF5653">
      <w:pPr>
        <w:pStyle w:val="Heading3"/>
        <w:rPr>
          <w:color w:val="auto"/>
        </w:rPr>
      </w:pPr>
      <w:bookmarkStart w:id="163" w:name="_Toc318638313"/>
      <w:bookmarkStart w:id="164" w:name="_Toc229126498"/>
      <w:r>
        <w:rPr>
          <w:noProof/>
          <w:lang w:val="en-US" w:eastAsia="en-US"/>
        </w:rPr>
        <w:drawing>
          <wp:anchor distT="14068" distB="21102" distL="129018" distR="136377" simplePos="0" relativeHeight="251669504" behindDoc="1" locked="0" layoutInCell="1" allowOverlap="1">
            <wp:simplePos x="0" y="0"/>
            <wp:positionH relativeFrom="column">
              <wp:posOffset>357618</wp:posOffset>
            </wp:positionH>
            <wp:positionV relativeFrom="paragraph">
              <wp:posOffset>366493</wp:posOffset>
            </wp:positionV>
            <wp:extent cx="5335270" cy="3164840"/>
            <wp:effectExtent l="19050" t="19050" r="17780" b="16510"/>
            <wp:wrapNone/>
            <wp:docPr id="9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page">
              <wp14:pctWidth>0</wp14:pctWidth>
            </wp14:sizeRelH>
            <wp14:sizeRelV relativeFrom="page">
              <wp14:pctHeight>0</wp14:pctHeight>
            </wp14:sizeRelV>
          </wp:anchor>
        </w:drawing>
      </w:r>
      <w:r w:rsidR="00D2730B">
        <w:rPr>
          <w:color w:val="auto"/>
        </w:rPr>
        <w:t>Family And Social Support – F</w:t>
      </w:r>
      <w:r w:rsidR="00BF5653">
        <w:rPr>
          <w:color w:val="auto"/>
        </w:rPr>
        <w:t>igure 4.4</w:t>
      </w:r>
      <w:bookmarkEnd w:id="163"/>
      <w:bookmarkEnd w:id="164"/>
    </w:p>
    <w:p w:rsidR="00564587" w:rsidRDefault="007B6124" w:rsidP="007B6124">
      <w:pPr>
        <w:tabs>
          <w:tab w:val="left" w:pos="320"/>
        </w:tabs>
        <w:rPr>
          <w:noProof/>
        </w:rPr>
      </w:pPr>
      <w:r>
        <w:rPr>
          <w:noProof/>
        </w:rPr>
        <w:tab/>
      </w:r>
    </w:p>
    <w:p w:rsidR="00564587" w:rsidRDefault="00564587" w:rsidP="00564587">
      <w:pPr>
        <w:rPr>
          <w:noProof/>
        </w:rPr>
      </w:pPr>
    </w:p>
    <w:p w:rsidR="00564587" w:rsidRDefault="00BF5653" w:rsidP="00BF5653">
      <w:pPr>
        <w:jc w:val="center"/>
        <w:rPr>
          <w:i/>
        </w:rPr>
      </w:pPr>
      <w:r>
        <w:rPr>
          <w:noProof/>
        </w:rPr>
        <w:br/>
      </w:r>
    </w:p>
    <w:p w:rsidR="00564587" w:rsidRDefault="00564587" w:rsidP="00BF5653">
      <w:pPr>
        <w:jc w:val="center"/>
        <w:rPr>
          <w:i/>
        </w:rPr>
      </w:pPr>
    </w:p>
    <w:p w:rsidR="00564587" w:rsidRDefault="00564587" w:rsidP="00BF5653">
      <w:pPr>
        <w:jc w:val="center"/>
        <w:rPr>
          <w:i/>
        </w:rPr>
      </w:pPr>
    </w:p>
    <w:p w:rsidR="00564587" w:rsidRDefault="00564587" w:rsidP="00BF5653">
      <w:pPr>
        <w:jc w:val="center"/>
        <w:rPr>
          <w:i/>
        </w:rPr>
      </w:pPr>
    </w:p>
    <w:p w:rsidR="00564587" w:rsidRDefault="00564587" w:rsidP="00BF5653">
      <w:pPr>
        <w:jc w:val="center"/>
        <w:rPr>
          <w:i/>
        </w:rPr>
      </w:pPr>
    </w:p>
    <w:p w:rsidR="00564587" w:rsidRDefault="00564587" w:rsidP="00BF5653">
      <w:pPr>
        <w:jc w:val="center"/>
        <w:rPr>
          <w:i/>
        </w:rPr>
      </w:pPr>
    </w:p>
    <w:p w:rsidR="00564587" w:rsidRDefault="00564587" w:rsidP="00BF5653">
      <w:pPr>
        <w:jc w:val="center"/>
        <w:rPr>
          <w:i/>
        </w:rPr>
      </w:pPr>
    </w:p>
    <w:p w:rsidR="00564587" w:rsidRDefault="00564587" w:rsidP="00564587">
      <w:pPr>
        <w:jc w:val="center"/>
        <w:rPr>
          <w:i/>
        </w:rPr>
      </w:pPr>
    </w:p>
    <w:p w:rsidR="00564587" w:rsidRPr="00564587" w:rsidRDefault="00BF5653" w:rsidP="00564587">
      <w:pPr>
        <w:jc w:val="center"/>
        <w:rPr>
          <w:color w:val="3399FF"/>
          <w:u w:val="single"/>
        </w:rPr>
      </w:pPr>
      <w:r w:rsidRPr="00566CB3">
        <w:rPr>
          <w:i/>
        </w:rPr>
        <w:t>Source</w:t>
      </w:r>
      <w:r w:rsidRPr="00566CB3">
        <w:t xml:space="preserve">: </w:t>
      </w:r>
      <w:r w:rsidR="00564587" w:rsidRPr="00564587">
        <w:rPr>
          <w:u w:val="single"/>
        </w:rPr>
        <w:t>http://www.countyhealth</w:t>
      </w:r>
      <w:r w:rsidR="007B6124">
        <w:rPr>
          <w:u w:val="single"/>
        </w:rPr>
        <w:t>rankings.org/missouri/linn</w:t>
      </w:r>
      <w:r w:rsidR="00564587">
        <w:rPr>
          <w:u w:val="single"/>
        </w:rPr>
        <w:t xml:space="preserve">  </w:t>
      </w:r>
    </w:p>
    <w:p w:rsidR="00BF5653" w:rsidRPr="00566CB3" w:rsidRDefault="00BF5653" w:rsidP="00BF5653">
      <w:pPr>
        <w:jc w:val="center"/>
      </w:pPr>
      <w:r w:rsidRPr="00566CB3">
        <w:t>DISCUSSION</w:t>
      </w:r>
    </w:p>
    <w:p w:rsidR="00731443" w:rsidRPr="00F944FB" w:rsidRDefault="00731443" w:rsidP="00731443">
      <w:r w:rsidRPr="00F944FB">
        <w:t>Family and social support is defined as the quality of relationships among family members and with friends, colleagues, and acquaintances, as well as community involvement.   Research shows that poor family and social support is associated with increased morbidity and early mortality.  By understanding the percentage of socially isolated individuals within a community</w:t>
      </w:r>
      <w:r w:rsidR="003C240D" w:rsidRPr="00F944FB">
        <w:t xml:space="preserve">, </w:t>
      </w:r>
      <w:r w:rsidR="00F944FB" w:rsidRPr="00F944FB">
        <w:t>this</w:t>
      </w:r>
      <w:r w:rsidRPr="00F944FB">
        <w:t xml:space="preserve"> may provide a more complete perspective on a community’s collective health profile, which could be due to a poor community network. Unfortunately</w:t>
      </w:r>
      <w:r w:rsidR="003C240D" w:rsidRPr="00F944FB">
        <w:t>,</w:t>
      </w:r>
      <w:r w:rsidRPr="00F944FB">
        <w:t xml:space="preserve"> Linn County lies above the National Benchmark</w:t>
      </w:r>
      <w:r w:rsidR="00991A36" w:rsidRPr="00F944FB">
        <w:t xml:space="preserve"> </w:t>
      </w:r>
      <w:r w:rsidR="00F944FB" w:rsidRPr="00F944FB">
        <w:t>and the Missouri</w:t>
      </w:r>
      <w:r w:rsidR="003C240D" w:rsidRPr="00F944FB">
        <w:t xml:space="preserve"> </w:t>
      </w:r>
      <w:r w:rsidR="00991A36" w:rsidRPr="00F944FB">
        <w:t xml:space="preserve">state average. </w:t>
      </w:r>
    </w:p>
    <w:p w:rsidR="00BF5653" w:rsidRPr="00566CB3" w:rsidRDefault="00BF5653" w:rsidP="00BF5653"/>
    <w:p w:rsidR="00BF5653" w:rsidRDefault="00BF5653" w:rsidP="00BF5653">
      <w:pPr>
        <w:rPr>
          <w:sz w:val="24"/>
          <w:szCs w:val="24"/>
        </w:rPr>
      </w:pPr>
    </w:p>
    <w:p w:rsidR="00BF5653" w:rsidRDefault="00BF5653" w:rsidP="00BF5653">
      <w:pPr>
        <w:rPr>
          <w:sz w:val="24"/>
          <w:szCs w:val="24"/>
        </w:rPr>
      </w:pPr>
    </w:p>
    <w:p w:rsidR="00564587" w:rsidRDefault="00564587" w:rsidP="00BF5653">
      <w:pPr>
        <w:rPr>
          <w:sz w:val="24"/>
          <w:szCs w:val="24"/>
        </w:rPr>
      </w:pPr>
    </w:p>
    <w:p w:rsidR="00564587" w:rsidRDefault="00564587" w:rsidP="00BF5653">
      <w:pPr>
        <w:rPr>
          <w:sz w:val="24"/>
          <w:szCs w:val="24"/>
        </w:rPr>
      </w:pPr>
    </w:p>
    <w:p w:rsidR="00DB3E16" w:rsidRDefault="00DB3E16" w:rsidP="00BF5653">
      <w:pPr>
        <w:rPr>
          <w:sz w:val="24"/>
          <w:szCs w:val="24"/>
        </w:rPr>
      </w:pPr>
    </w:p>
    <w:p w:rsidR="00BF5653" w:rsidRDefault="00BF5653" w:rsidP="00BF5653">
      <w:pPr>
        <w:rPr>
          <w:sz w:val="24"/>
          <w:szCs w:val="24"/>
        </w:rPr>
      </w:pPr>
    </w:p>
    <w:p w:rsidR="00BF5653" w:rsidRPr="00074652" w:rsidRDefault="00D2730B" w:rsidP="00BF5653">
      <w:pPr>
        <w:pStyle w:val="Heading3"/>
        <w:rPr>
          <w:color w:val="auto"/>
        </w:rPr>
      </w:pPr>
      <w:bookmarkStart w:id="165" w:name="_Toc318638314"/>
      <w:bookmarkStart w:id="166" w:name="_Toc229126499"/>
      <w:r>
        <w:rPr>
          <w:color w:val="auto"/>
        </w:rPr>
        <w:lastRenderedPageBreak/>
        <w:t>Physical Environment – F</w:t>
      </w:r>
      <w:r w:rsidR="00BF5653">
        <w:rPr>
          <w:color w:val="auto"/>
        </w:rPr>
        <w:t>igure 4.5</w:t>
      </w:r>
      <w:bookmarkEnd w:id="165"/>
      <w:bookmarkEnd w:id="166"/>
    </w:p>
    <w:tbl>
      <w:tblPr>
        <w:tblpPr w:horzAnchor="margin" w:tblpXSpec="center" w:tblpY="780"/>
        <w:tblW w:w="0" w:type="auto"/>
        <w:tblBorders>
          <w:top w:val="single" w:sz="18" w:space="0" w:color="5F76B4"/>
          <w:left w:val="single" w:sz="18" w:space="0" w:color="5F76B4"/>
          <w:bottom w:val="single" w:sz="18" w:space="0" w:color="5F76B4"/>
          <w:right w:val="single" w:sz="18" w:space="0" w:color="5F76B4"/>
          <w:insideH w:val="single" w:sz="18" w:space="0" w:color="5F76B4"/>
          <w:insideV w:val="single" w:sz="18" w:space="0" w:color="5F76B4"/>
        </w:tblBorders>
        <w:tblLook w:val="00A0" w:firstRow="1" w:lastRow="0" w:firstColumn="1" w:lastColumn="0" w:noHBand="0" w:noVBand="0"/>
      </w:tblPr>
      <w:tblGrid>
        <w:gridCol w:w="3066"/>
        <w:gridCol w:w="1196"/>
        <w:gridCol w:w="1196"/>
        <w:gridCol w:w="1036"/>
        <w:gridCol w:w="1036"/>
        <w:gridCol w:w="1023"/>
        <w:gridCol w:w="1023"/>
      </w:tblGrid>
      <w:tr w:rsidR="00BF5653" w:rsidRPr="002B7086">
        <w:trPr>
          <w:trHeight w:val="300"/>
        </w:trPr>
        <w:tc>
          <w:tcPr>
            <w:tcW w:w="0" w:type="auto"/>
            <w:vAlign w:val="center"/>
          </w:tcPr>
          <w:p w:rsidR="00BF5653" w:rsidRPr="00DD16BA" w:rsidRDefault="00BF5653" w:rsidP="00BF5653">
            <w:pPr>
              <w:pStyle w:val="DefaultParagraph"/>
              <w:jc w:val="center"/>
              <w:rPr>
                <w:rFonts w:ascii="Times New Roman" w:hAnsi="Times New Roman"/>
                <w:b/>
                <w:sz w:val="24"/>
                <w:szCs w:val="24"/>
              </w:rPr>
            </w:pPr>
          </w:p>
        </w:tc>
        <w:tc>
          <w:tcPr>
            <w:tcW w:w="0" w:type="auto"/>
            <w:gridSpan w:val="2"/>
            <w:vAlign w:val="center"/>
          </w:tcPr>
          <w:p w:rsidR="00BF5653" w:rsidRPr="004D1CB4" w:rsidRDefault="00BF5653" w:rsidP="002B1BA3">
            <w:pPr>
              <w:pStyle w:val="DefaultParagraph"/>
              <w:spacing w:line="220" w:lineRule="exact"/>
              <w:ind w:left="420"/>
              <w:jc w:val="center"/>
              <w:rPr>
                <w:rFonts w:ascii="Cambria" w:hAnsi="Cambria" w:cs="Cambria"/>
                <w:b/>
                <w:bCs/>
                <w:sz w:val="24"/>
                <w:szCs w:val="24"/>
              </w:rPr>
            </w:pPr>
            <w:r w:rsidRPr="004D1CB4">
              <w:rPr>
                <w:rFonts w:ascii="Cambria" w:hAnsi="Cambria" w:cs="Cambria"/>
                <w:b/>
                <w:bCs/>
                <w:sz w:val="24"/>
                <w:szCs w:val="24"/>
              </w:rPr>
              <w:t>L</w:t>
            </w:r>
            <w:r w:rsidR="004D1CB4" w:rsidRPr="004D1CB4">
              <w:rPr>
                <w:rFonts w:ascii="Cambria" w:hAnsi="Cambria" w:cs="Cambria"/>
                <w:b/>
                <w:bCs/>
                <w:sz w:val="24"/>
                <w:szCs w:val="24"/>
              </w:rPr>
              <w:t>in</w:t>
            </w:r>
            <w:r w:rsidR="002B1BA3" w:rsidRPr="004D1CB4">
              <w:rPr>
                <w:rFonts w:ascii="Cambria" w:hAnsi="Cambria" w:cs="Cambria"/>
                <w:b/>
                <w:bCs/>
                <w:sz w:val="24"/>
                <w:szCs w:val="24"/>
              </w:rPr>
              <w:t>n</w:t>
            </w:r>
            <w:r w:rsidRPr="004D1CB4">
              <w:rPr>
                <w:rFonts w:ascii="Cambria" w:hAnsi="Cambria" w:cs="Cambria"/>
                <w:b/>
                <w:bCs/>
                <w:sz w:val="24"/>
                <w:szCs w:val="24"/>
              </w:rPr>
              <w:t xml:space="preserve"> County</w:t>
            </w:r>
          </w:p>
        </w:tc>
        <w:tc>
          <w:tcPr>
            <w:tcW w:w="0" w:type="auto"/>
            <w:gridSpan w:val="2"/>
            <w:vAlign w:val="center"/>
          </w:tcPr>
          <w:p w:rsidR="00BF5653" w:rsidRPr="006259C5" w:rsidRDefault="002B1BA3" w:rsidP="00BF5653">
            <w:pPr>
              <w:pStyle w:val="DefaultParagraph"/>
              <w:jc w:val="center"/>
              <w:rPr>
                <w:rFonts w:ascii="Cambria" w:hAnsi="Cambria"/>
                <w:b/>
                <w:sz w:val="24"/>
                <w:szCs w:val="24"/>
              </w:rPr>
            </w:pPr>
            <w:r w:rsidRPr="006259C5">
              <w:rPr>
                <w:rFonts w:ascii="Cambria" w:hAnsi="Cambria"/>
                <w:b/>
                <w:sz w:val="24"/>
                <w:szCs w:val="24"/>
              </w:rPr>
              <w:t>Missouri</w:t>
            </w:r>
          </w:p>
        </w:tc>
        <w:tc>
          <w:tcPr>
            <w:tcW w:w="0" w:type="auto"/>
            <w:gridSpan w:val="2"/>
            <w:vAlign w:val="center"/>
          </w:tcPr>
          <w:p w:rsidR="00BF5653" w:rsidRPr="00DD16BA" w:rsidRDefault="00114006" w:rsidP="00BF5653">
            <w:pPr>
              <w:pStyle w:val="DefaultParagraph"/>
              <w:jc w:val="center"/>
              <w:rPr>
                <w:rFonts w:ascii="Cambria" w:hAnsi="Cambria"/>
                <w:b/>
                <w:sz w:val="22"/>
                <w:szCs w:val="22"/>
              </w:rPr>
            </w:pPr>
            <w:r>
              <w:rPr>
                <w:rFonts w:ascii="Cambria" w:hAnsi="Cambria"/>
                <w:b/>
                <w:sz w:val="22"/>
                <w:szCs w:val="22"/>
              </w:rPr>
              <w:t>National Benchmark</w:t>
            </w:r>
          </w:p>
        </w:tc>
      </w:tr>
      <w:tr w:rsidR="00BF5653" w:rsidRPr="00AF7F21">
        <w:trPr>
          <w:trHeight w:val="300"/>
        </w:trPr>
        <w:tc>
          <w:tcPr>
            <w:tcW w:w="0" w:type="auto"/>
            <w:shd w:val="clear" w:color="auto" w:fill="DBE5F1"/>
            <w:vAlign w:val="center"/>
          </w:tcPr>
          <w:p w:rsidR="00BF5653" w:rsidRPr="00DD16BA" w:rsidRDefault="00BF5653" w:rsidP="00BF5653">
            <w:pPr>
              <w:pStyle w:val="DefaultParagraph"/>
              <w:jc w:val="center"/>
              <w:rPr>
                <w:rFonts w:ascii="Times New Roman" w:hAnsi="Times New Roman"/>
                <w:b/>
                <w:sz w:val="24"/>
                <w:szCs w:val="24"/>
              </w:rPr>
            </w:pPr>
          </w:p>
        </w:tc>
        <w:tc>
          <w:tcPr>
            <w:tcW w:w="0" w:type="auto"/>
            <w:shd w:val="clear" w:color="auto" w:fill="DBE5F1"/>
            <w:vAlign w:val="center"/>
          </w:tcPr>
          <w:p w:rsidR="00BF5653" w:rsidRPr="00DD16BA" w:rsidRDefault="002B1BA3" w:rsidP="00BF5653">
            <w:pPr>
              <w:pStyle w:val="DefaultParagraph"/>
              <w:spacing w:line="220" w:lineRule="exact"/>
              <w:ind w:left="420"/>
              <w:jc w:val="center"/>
              <w:rPr>
                <w:rFonts w:ascii="Cambria" w:hAnsi="Cambria" w:cs="Cambria"/>
                <w:b/>
                <w:bCs/>
                <w:sz w:val="22"/>
                <w:szCs w:val="22"/>
              </w:rPr>
            </w:pPr>
            <w:r>
              <w:rPr>
                <w:rFonts w:ascii="Cambria" w:hAnsi="Cambria" w:cs="Cambria"/>
                <w:b/>
                <w:bCs/>
                <w:sz w:val="22"/>
                <w:szCs w:val="22"/>
              </w:rPr>
              <w:t>201</w:t>
            </w:r>
            <w:r w:rsidR="00087234">
              <w:rPr>
                <w:rFonts w:ascii="Cambria" w:hAnsi="Cambria" w:cs="Cambria"/>
                <w:b/>
                <w:bCs/>
                <w:sz w:val="22"/>
                <w:szCs w:val="22"/>
              </w:rPr>
              <w:t>0</w:t>
            </w:r>
          </w:p>
        </w:tc>
        <w:tc>
          <w:tcPr>
            <w:tcW w:w="0" w:type="auto"/>
            <w:shd w:val="clear" w:color="auto" w:fill="DBE5F1"/>
            <w:vAlign w:val="center"/>
          </w:tcPr>
          <w:p w:rsidR="00BF5653" w:rsidRPr="00DD16BA" w:rsidRDefault="002B1BA3" w:rsidP="00BF5653">
            <w:pPr>
              <w:pStyle w:val="DefaultParagraph"/>
              <w:spacing w:line="220" w:lineRule="exact"/>
              <w:ind w:left="420"/>
              <w:jc w:val="center"/>
              <w:rPr>
                <w:rFonts w:ascii="Cambria" w:hAnsi="Cambria" w:cs="Cambria"/>
                <w:b/>
                <w:bCs/>
                <w:sz w:val="22"/>
                <w:szCs w:val="22"/>
              </w:rPr>
            </w:pPr>
            <w:r>
              <w:rPr>
                <w:rFonts w:ascii="Cambria" w:hAnsi="Cambria" w:cs="Cambria"/>
                <w:b/>
                <w:bCs/>
                <w:sz w:val="22"/>
                <w:szCs w:val="22"/>
              </w:rPr>
              <w:t>201</w:t>
            </w:r>
            <w:r w:rsidR="00087234">
              <w:rPr>
                <w:rFonts w:ascii="Cambria" w:hAnsi="Cambria" w:cs="Cambria"/>
                <w:b/>
                <w:bCs/>
                <w:sz w:val="22"/>
                <w:szCs w:val="22"/>
              </w:rPr>
              <w:t>1</w:t>
            </w:r>
          </w:p>
        </w:tc>
        <w:tc>
          <w:tcPr>
            <w:tcW w:w="0" w:type="auto"/>
            <w:shd w:val="clear" w:color="auto" w:fill="DBE5F1"/>
            <w:vAlign w:val="center"/>
          </w:tcPr>
          <w:p w:rsidR="00BF5653" w:rsidRPr="00DD16BA" w:rsidRDefault="002B1BA3" w:rsidP="00BF5653">
            <w:pPr>
              <w:pStyle w:val="DefaultParagraph"/>
              <w:jc w:val="center"/>
              <w:rPr>
                <w:rFonts w:ascii="Cambria" w:hAnsi="Cambria"/>
                <w:b/>
                <w:sz w:val="22"/>
                <w:szCs w:val="22"/>
              </w:rPr>
            </w:pPr>
            <w:r>
              <w:rPr>
                <w:rFonts w:ascii="Cambria" w:hAnsi="Cambria"/>
                <w:b/>
                <w:sz w:val="22"/>
                <w:szCs w:val="22"/>
              </w:rPr>
              <w:t>201</w:t>
            </w:r>
            <w:r w:rsidR="00087234">
              <w:rPr>
                <w:rFonts w:ascii="Cambria" w:hAnsi="Cambria"/>
                <w:b/>
                <w:sz w:val="22"/>
                <w:szCs w:val="22"/>
              </w:rPr>
              <w:t>0</w:t>
            </w:r>
          </w:p>
        </w:tc>
        <w:tc>
          <w:tcPr>
            <w:tcW w:w="0" w:type="auto"/>
            <w:shd w:val="clear" w:color="auto" w:fill="DBE5F1"/>
            <w:vAlign w:val="center"/>
          </w:tcPr>
          <w:p w:rsidR="00BF5653" w:rsidRPr="00DD16BA" w:rsidRDefault="00BF5653" w:rsidP="00BF5653">
            <w:pPr>
              <w:pStyle w:val="DefaultParagraph"/>
              <w:jc w:val="center"/>
              <w:rPr>
                <w:rFonts w:ascii="Cambria" w:hAnsi="Cambria"/>
                <w:b/>
                <w:sz w:val="22"/>
                <w:szCs w:val="22"/>
              </w:rPr>
            </w:pPr>
            <w:r w:rsidRPr="00DD16BA">
              <w:rPr>
                <w:rFonts w:ascii="Cambria" w:hAnsi="Cambria"/>
                <w:b/>
                <w:sz w:val="22"/>
                <w:szCs w:val="22"/>
              </w:rPr>
              <w:t>20</w:t>
            </w:r>
            <w:r w:rsidR="002B1BA3">
              <w:rPr>
                <w:rFonts w:ascii="Cambria" w:hAnsi="Cambria"/>
                <w:b/>
                <w:sz w:val="22"/>
                <w:szCs w:val="22"/>
              </w:rPr>
              <w:t>1</w:t>
            </w:r>
            <w:r w:rsidR="00087234">
              <w:rPr>
                <w:rFonts w:ascii="Cambria" w:hAnsi="Cambria"/>
                <w:b/>
                <w:sz w:val="22"/>
                <w:szCs w:val="22"/>
              </w:rPr>
              <w:t>1</w:t>
            </w:r>
          </w:p>
        </w:tc>
        <w:tc>
          <w:tcPr>
            <w:tcW w:w="0" w:type="auto"/>
            <w:shd w:val="clear" w:color="auto" w:fill="DBE5F1"/>
            <w:vAlign w:val="center"/>
          </w:tcPr>
          <w:p w:rsidR="00BF5653" w:rsidRPr="00DD16BA" w:rsidRDefault="002B1BA3" w:rsidP="00BF5653">
            <w:pPr>
              <w:pStyle w:val="DefaultParagraph"/>
              <w:jc w:val="center"/>
              <w:rPr>
                <w:rFonts w:ascii="Cambria" w:hAnsi="Cambria"/>
                <w:b/>
                <w:sz w:val="22"/>
                <w:szCs w:val="22"/>
              </w:rPr>
            </w:pPr>
            <w:r>
              <w:rPr>
                <w:rFonts w:ascii="Cambria" w:hAnsi="Cambria"/>
                <w:b/>
                <w:sz w:val="22"/>
                <w:szCs w:val="22"/>
              </w:rPr>
              <w:t>201</w:t>
            </w:r>
            <w:r w:rsidR="00087234">
              <w:rPr>
                <w:rFonts w:ascii="Cambria" w:hAnsi="Cambria"/>
                <w:b/>
                <w:sz w:val="22"/>
                <w:szCs w:val="22"/>
              </w:rPr>
              <w:t>0</w:t>
            </w:r>
          </w:p>
        </w:tc>
        <w:tc>
          <w:tcPr>
            <w:tcW w:w="0" w:type="auto"/>
            <w:shd w:val="clear" w:color="auto" w:fill="DBE5F1"/>
            <w:vAlign w:val="center"/>
          </w:tcPr>
          <w:p w:rsidR="00BF5653" w:rsidRPr="00DD16BA" w:rsidRDefault="002B1BA3" w:rsidP="00BF5653">
            <w:pPr>
              <w:pStyle w:val="DefaultParagraph"/>
              <w:jc w:val="center"/>
              <w:rPr>
                <w:rFonts w:ascii="Cambria" w:hAnsi="Cambria"/>
                <w:b/>
                <w:sz w:val="22"/>
                <w:szCs w:val="22"/>
              </w:rPr>
            </w:pPr>
            <w:r>
              <w:rPr>
                <w:rFonts w:ascii="Cambria" w:hAnsi="Cambria"/>
                <w:b/>
                <w:sz w:val="22"/>
                <w:szCs w:val="22"/>
              </w:rPr>
              <w:t>201</w:t>
            </w:r>
            <w:r w:rsidR="00087234">
              <w:rPr>
                <w:rFonts w:ascii="Cambria" w:hAnsi="Cambria"/>
                <w:b/>
                <w:sz w:val="22"/>
                <w:szCs w:val="22"/>
              </w:rPr>
              <w:t>1</w:t>
            </w:r>
          </w:p>
        </w:tc>
      </w:tr>
      <w:tr w:rsidR="004D1CB4">
        <w:trPr>
          <w:trHeight w:val="320"/>
        </w:trPr>
        <w:tc>
          <w:tcPr>
            <w:tcW w:w="0" w:type="auto"/>
          </w:tcPr>
          <w:p w:rsidR="004D1CB4" w:rsidRPr="00DD16BA" w:rsidRDefault="004D1CB4" w:rsidP="004D1CB4">
            <w:pPr>
              <w:pStyle w:val="DefaultParagraph"/>
              <w:spacing w:line="220" w:lineRule="exact"/>
              <w:ind w:left="100"/>
              <w:jc w:val="center"/>
              <w:rPr>
                <w:rFonts w:ascii="Cambria" w:hAnsi="Cambria" w:cs="Cambria"/>
                <w:b/>
                <w:bCs/>
                <w:sz w:val="22"/>
                <w:szCs w:val="22"/>
                <w:vertAlign w:val="superscript"/>
              </w:rPr>
            </w:pPr>
            <w:r w:rsidRPr="00DD16BA">
              <w:rPr>
                <w:rFonts w:ascii="Cambria" w:hAnsi="Cambria" w:cs="Cambria"/>
                <w:b/>
                <w:bCs/>
                <w:sz w:val="22"/>
                <w:szCs w:val="22"/>
              </w:rPr>
              <w:t>Air pollution-ozone days</w:t>
            </w:r>
            <w:r w:rsidRPr="00DD16BA">
              <w:rPr>
                <w:rStyle w:val="FootnoteReference"/>
                <w:rFonts w:ascii="Cambria" w:hAnsi="Cambria" w:cs="Cambria"/>
                <w:b/>
                <w:bCs/>
                <w:sz w:val="22"/>
                <w:szCs w:val="22"/>
              </w:rPr>
              <w:footnoteReference w:id="29"/>
            </w:r>
          </w:p>
        </w:tc>
        <w:tc>
          <w:tcPr>
            <w:tcW w:w="0" w:type="auto"/>
            <w:vAlign w:val="center"/>
          </w:tcPr>
          <w:p w:rsidR="004D1CB4" w:rsidRPr="00DD16BA" w:rsidRDefault="004D1CB4" w:rsidP="004D1CB4">
            <w:pPr>
              <w:pStyle w:val="DefaultParagraph"/>
              <w:spacing w:line="220" w:lineRule="exact"/>
              <w:ind w:left="460"/>
              <w:jc w:val="center"/>
              <w:rPr>
                <w:rFonts w:ascii="Cambria" w:hAnsi="Cambria" w:cs="Cambria"/>
                <w:sz w:val="22"/>
                <w:szCs w:val="22"/>
              </w:rPr>
            </w:pPr>
            <w:r>
              <w:rPr>
                <w:rFonts w:ascii="Cambria" w:hAnsi="Cambria" w:cs="Cambria"/>
                <w:sz w:val="22"/>
                <w:szCs w:val="22"/>
              </w:rPr>
              <w:t>0</w:t>
            </w:r>
          </w:p>
        </w:tc>
        <w:tc>
          <w:tcPr>
            <w:tcW w:w="0" w:type="auto"/>
            <w:vAlign w:val="center"/>
          </w:tcPr>
          <w:p w:rsidR="004D1CB4" w:rsidRPr="00DD16BA" w:rsidRDefault="004D1CB4" w:rsidP="004D1CB4">
            <w:pPr>
              <w:pStyle w:val="DefaultParagraph"/>
              <w:spacing w:line="220" w:lineRule="exact"/>
              <w:ind w:left="460"/>
              <w:jc w:val="center"/>
              <w:rPr>
                <w:rFonts w:ascii="Cambria" w:hAnsi="Cambria" w:cs="Cambria"/>
                <w:sz w:val="22"/>
                <w:szCs w:val="22"/>
              </w:rPr>
            </w:pPr>
            <w:r>
              <w:rPr>
                <w:rFonts w:ascii="Cambria" w:hAnsi="Cambria" w:cs="Cambria"/>
                <w:sz w:val="22"/>
                <w:szCs w:val="22"/>
              </w:rPr>
              <w:t>0</w:t>
            </w:r>
          </w:p>
        </w:tc>
        <w:tc>
          <w:tcPr>
            <w:tcW w:w="0" w:type="auto"/>
            <w:vAlign w:val="center"/>
          </w:tcPr>
          <w:p w:rsidR="004D1CB4" w:rsidRPr="00DD16BA" w:rsidRDefault="004D1CB4" w:rsidP="004D1CB4">
            <w:pPr>
              <w:pStyle w:val="DefaultParagraph"/>
              <w:spacing w:line="220" w:lineRule="exact"/>
              <w:ind w:left="300"/>
              <w:jc w:val="center"/>
              <w:rPr>
                <w:rFonts w:ascii="Cambria" w:hAnsi="Cambria" w:cs="Cambria"/>
                <w:sz w:val="22"/>
                <w:szCs w:val="22"/>
              </w:rPr>
            </w:pPr>
            <w:r>
              <w:rPr>
                <w:rFonts w:ascii="Cambria" w:hAnsi="Cambria" w:cs="Cambria"/>
                <w:sz w:val="22"/>
                <w:szCs w:val="22"/>
              </w:rPr>
              <w:t>1</w:t>
            </w:r>
          </w:p>
        </w:tc>
        <w:tc>
          <w:tcPr>
            <w:tcW w:w="0" w:type="auto"/>
            <w:vAlign w:val="center"/>
          </w:tcPr>
          <w:p w:rsidR="004D1CB4" w:rsidRPr="00DD16BA" w:rsidRDefault="004D1CB4" w:rsidP="004D1CB4">
            <w:pPr>
              <w:pStyle w:val="DefaultParagraph"/>
              <w:spacing w:line="220" w:lineRule="exact"/>
              <w:ind w:left="300"/>
              <w:jc w:val="center"/>
              <w:rPr>
                <w:rFonts w:ascii="Cambria" w:hAnsi="Cambria" w:cs="Cambria"/>
                <w:sz w:val="22"/>
                <w:szCs w:val="22"/>
              </w:rPr>
            </w:pPr>
            <w:r>
              <w:rPr>
                <w:rFonts w:ascii="Cambria" w:hAnsi="Cambria" w:cs="Cambria"/>
                <w:sz w:val="22"/>
                <w:szCs w:val="22"/>
              </w:rPr>
              <w:t>7</w:t>
            </w:r>
          </w:p>
        </w:tc>
        <w:tc>
          <w:tcPr>
            <w:tcW w:w="0" w:type="auto"/>
            <w:vAlign w:val="center"/>
          </w:tcPr>
          <w:p w:rsidR="004D1CB4" w:rsidRPr="00DD16BA" w:rsidRDefault="004D1CB4" w:rsidP="004D1CB4">
            <w:pPr>
              <w:pStyle w:val="DefaultParagraph"/>
              <w:spacing w:line="220" w:lineRule="exact"/>
              <w:jc w:val="center"/>
              <w:rPr>
                <w:rFonts w:ascii="Cambria" w:hAnsi="Cambria" w:cs="Cambria"/>
                <w:sz w:val="22"/>
                <w:szCs w:val="22"/>
              </w:rPr>
            </w:pPr>
            <w:r w:rsidRPr="00DD16BA">
              <w:rPr>
                <w:rFonts w:ascii="Cambria" w:hAnsi="Cambria" w:cs="Cambria"/>
                <w:sz w:val="22"/>
                <w:szCs w:val="22"/>
              </w:rPr>
              <w:t>0</w:t>
            </w:r>
          </w:p>
        </w:tc>
        <w:tc>
          <w:tcPr>
            <w:tcW w:w="0" w:type="auto"/>
            <w:vAlign w:val="center"/>
          </w:tcPr>
          <w:p w:rsidR="004D1CB4" w:rsidRPr="00DD16BA" w:rsidRDefault="004D1CB4" w:rsidP="004D1CB4">
            <w:pPr>
              <w:pStyle w:val="DefaultParagraph"/>
              <w:spacing w:line="220" w:lineRule="exact"/>
              <w:jc w:val="center"/>
              <w:rPr>
                <w:rFonts w:ascii="Cambria" w:hAnsi="Cambria" w:cs="Cambria"/>
                <w:sz w:val="22"/>
                <w:szCs w:val="22"/>
              </w:rPr>
            </w:pPr>
            <w:r w:rsidRPr="00DD16BA">
              <w:rPr>
                <w:rFonts w:ascii="Cambria" w:hAnsi="Cambria" w:cs="Cambria"/>
                <w:sz w:val="22"/>
                <w:szCs w:val="22"/>
              </w:rPr>
              <w:t>0</w:t>
            </w:r>
          </w:p>
        </w:tc>
      </w:tr>
      <w:tr w:rsidR="004D1CB4">
        <w:trPr>
          <w:trHeight w:val="320"/>
        </w:trPr>
        <w:tc>
          <w:tcPr>
            <w:tcW w:w="0" w:type="auto"/>
            <w:shd w:val="clear" w:color="auto" w:fill="DBE5F1"/>
          </w:tcPr>
          <w:p w:rsidR="004D1CB4" w:rsidRPr="00DD16BA" w:rsidRDefault="004D1CB4" w:rsidP="004D1CB4">
            <w:pPr>
              <w:pStyle w:val="DefaultParagraph"/>
              <w:spacing w:line="220" w:lineRule="exact"/>
              <w:jc w:val="center"/>
              <w:rPr>
                <w:rFonts w:ascii="Cambria" w:hAnsi="Cambria" w:cs="Cambria"/>
                <w:b/>
                <w:bCs/>
                <w:sz w:val="22"/>
                <w:szCs w:val="22"/>
                <w:vertAlign w:val="superscript"/>
              </w:rPr>
            </w:pPr>
            <w:r w:rsidRPr="00DD16BA">
              <w:rPr>
                <w:rFonts w:ascii="Cambria" w:hAnsi="Cambria" w:cs="Cambria"/>
                <w:b/>
                <w:bCs/>
                <w:sz w:val="22"/>
                <w:szCs w:val="22"/>
              </w:rPr>
              <w:t>Access to Healthy Foods</w:t>
            </w:r>
            <w:r w:rsidRPr="00DD16BA">
              <w:rPr>
                <w:rStyle w:val="FootnoteReference"/>
                <w:rFonts w:ascii="Cambria" w:hAnsi="Cambria" w:cs="Cambria"/>
                <w:b/>
                <w:bCs/>
                <w:sz w:val="22"/>
                <w:szCs w:val="22"/>
              </w:rPr>
              <w:footnoteReference w:id="30"/>
            </w:r>
          </w:p>
        </w:tc>
        <w:tc>
          <w:tcPr>
            <w:tcW w:w="0" w:type="auto"/>
            <w:shd w:val="clear" w:color="auto" w:fill="DBE5F1"/>
            <w:vAlign w:val="center"/>
          </w:tcPr>
          <w:p w:rsidR="004D1CB4" w:rsidRPr="00DD16BA" w:rsidRDefault="004D1CB4" w:rsidP="004D1CB4">
            <w:pPr>
              <w:pStyle w:val="DefaultParagraph"/>
              <w:spacing w:line="220" w:lineRule="exact"/>
              <w:ind w:left="540"/>
              <w:jc w:val="center"/>
              <w:rPr>
                <w:rFonts w:ascii="Cambria" w:hAnsi="Cambria" w:cs="Cambria"/>
                <w:sz w:val="22"/>
                <w:szCs w:val="22"/>
              </w:rPr>
            </w:pPr>
            <w:r>
              <w:rPr>
                <w:rFonts w:ascii="Cambria" w:hAnsi="Cambria" w:cs="Cambria"/>
                <w:sz w:val="22"/>
                <w:szCs w:val="22"/>
              </w:rPr>
              <w:t>33</w:t>
            </w:r>
            <w:r w:rsidRPr="00DD16BA">
              <w:rPr>
                <w:rFonts w:ascii="Cambria" w:hAnsi="Cambria" w:cs="Cambria"/>
                <w:sz w:val="22"/>
                <w:szCs w:val="22"/>
              </w:rPr>
              <w:t>%</w:t>
            </w:r>
          </w:p>
        </w:tc>
        <w:tc>
          <w:tcPr>
            <w:tcW w:w="0" w:type="auto"/>
            <w:shd w:val="clear" w:color="auto" w:fill="DBE5F1"/>
            <w:vAlign w:val="center"/>
          </w:tcPr>
          <w:p w:rsidR="004D1CB4" w:rsidRPr="00DD16BA" w:rsidRDefault="004D1CB4" w:rsidP="004D1CB4">
            <w:pPr>
              <w:pStyle w:val="DefaultParagraph"/>
              <w:spacing w:line="220" w:lineRule="exact"/>
              <w:ind w:left="540"/>
              <w:jc w:val="center"/>
              <w:rPr>
                <w:rFonts w:ascii="Cambria" w:hAnsi="Cambria" w:cs="Cambria"/>
                <w:sz w:val="22"/>
                <w:szCs w:val="22"/>
              </w:rPr>
            </w:pPr>
            <w:r>
              <w:rPr>
                <w:rFonts w:ascii="Cambria" w:hAnsi="Cambria" w:cs="Cambria"/>
                <w:sz w:val="22"/>
                <w:szCs w:val="22"/>
              </w:rPr>
              <w:t>22</w:t>
            </w:r>
            <w:r w:rsidRPr="00DD16BA">
              <w:rPr>
                <w:rFonts w:ascii="Cambria" w:hAnsi="Cambria" w:cs="Cambria"/>
                <w:sz w:val="22"/>
                <w:szCs w:val="22"/>
              </w:rPr>
              <w:t>%</w:t>
            </w:r>
          </w:p>
        </w:tc>
        <w:tc>
          <w:tcPr>
            <w:tcW w:w="0" w:type="auto"/>
            <w:shd w:val="clear" w:color="auto" w:fill="DBE5F1"/>
            <w:vAlign w:val="center"/>
          </w:tcPr>
          <w:p w:rsidR="004D1CB4" w:rsidRPr="00DD16BA" w:rsidRDefault="004D1CB4" w:rsidP="004D1CB4">
            <w:pPr>
              <w:pStyle w:val="DefaultParagraph"/>
              <w:spacing w:line="220" w:lineRule="exact"/>
              <w:ind w:left="380"/>
              <w:jc w:val="center"/>
              <w:rPr>
                <w:rFonts w:ascii="Cambria" w:hAnsi="Cambria" w:cs="Cambria"/>
                <w:sz w:val="22"/>
                <w:szCs w:val="22"/>
              </w:rPr>
            </w:pPr>
            <w:r w:rsidRPr="00DD16BA">
              <w:rPr>
                <w:rFonts w:ascii="Cambria" w:hAnsi="Cambria" w:cs="Cambria"/>
                <w:sz w:val="22"/>
                <w:szCs w:val="22"/>
              </w:rPr>
              <w:t>35%</w:t>
            </w:r>
          </w:p>
        </w:tc>
        <w:tc>
          <w:tcPr>
            <w:tcW w:w="0" w:type="auto"/>
            <w:shd w:val="clear" w:color="auto" w:fill="DBE5F1"/>
            <w:vAlign w:val="center"/>
          </w:tcPr>
          <w:p w:rsidR="004D1CB4" w:rsidRPr="00DD16BA" w:rsidRDefault="004D1CB4" w:rsidP="004D1CB4">
            <w:pPr>
              <w:pStyle w:val="DefaultParagraph"/>
              <w:spacing w:line="220" w:lineRule="exact"/>
              <w:ind w:left="380"/>
              <w:jc w:val="center"/>
              <w:rPr>
                <w:rFonts w:ascii="Cambria" w:hAnsi="Cambria" w:cs="Cambria"/>
                <w:sz w:val="22"/>
                <w:szCs w:val="22"/>
              </w:rPr>
            </w:pPr>
            <w:r>
              <w:rPr>
                <w:rFonts w:ascii="Cambria" w:hAnsi="Cambria" w:cs="Cambria"/>
                <w:sz w:val="22"/>
                <w:szCs w:val="22"/>
              </w:rPr>
              <w:t>47</w:t>
            </w:r>
            <w:r w:rsidRPr="00DD16BA">
              <w:rPr>
                <w:rFonts w:ascii="Cambria" w:hAnsi="Cambria" w:cs="Cambria"/>
                <w:sz w:val="22"/>
                <w:szCs w:val="22"/>
              </w:rPr>
              <w:t>%</w:t>
            </w:r>
          </w:p>
        </w:tc>
        <w:tc>
          <w:tcPr>
            <w:tcW w:w="0" w:type="auto"/>
            <w:shd w:val="clear" w:color="auto" w:fill="DBE5F1"/>
            <w:vAlign w:val="center"/>
          </w:tcPr>
          <w:p w:rsidR="004D1CB4" w:rsidRPr="00DD16BA" w:rsidRDefault="004D1CB4" w:rsidP="004D1CB4">
            <w:pPr>
              <w:pStyle w:val="DefaultParagraph"/>
              <w:spacing w:line="220" w:lineRule="exact"/>
              <w:jc w:val="center"/>
              <w:rPr>
                <w:rFonts w:ascii="Cambria" w:hAnsi="Cambria" w:cs="Cambria"/>
                <w:sz w:val="22"/>
                <w:szCs w:val="22"/>
              </w:rPr>
            </w:pPr>
            <w:r>
              <w:rPr>
                <w:rFonts w:ascii="Cambria" w:hAnsi="Cambria" w:cs="Cambria"/>
                <w:sz w:val="22"/>
                <w:szCs w:val="22"/>
              </w:rPr>
              <w:t>54</w:t>
            </w:r>
            <w:r w:rsidRPr="00DD16BA">
              <w:rPr>
                <w:rFonts w:ascii="Cambria" w:hAnsi="Cambria" w:cs="Cambria"/>
                <w:sz w:val="22"/>
                <w:szCs w:val="22"/>
              </w:rPr>
              <w:t>%</w:t>
            </w:r>
          </w:p>
        </w:tc>
        <w:tc>
          <w:tcPr>
            <w:tcW w:w="0" w:type="auto"/>
            <w:shd w:val="clear" w:color="auto" w:fill="DBE5F1"/>
            <w:vAlign w:val="center"/>
          </w:tcPr>
          <w:p w:rsidR="004D1CB4" w:rsidRPr="00DD16BA" w:rsidRDefault="004D1CB4" w:rsidP="004D1CB4">
            <w:pPr>
              <w:pStyle w:val="DefaultParagraph"/>
              <w:spacing w:line="220" w:lineRule="exact"/>
              <w:jc w:val="center"/>
              <w:rPr>
                <w:rFonts w:ascii="Cambria" w:hAnsi="Cambria" w:cs="Cambria"/>
                <w:sz w:val="22"/>
                <w:szCs w:val="22"/>
              </w:rPr>
            </w:pPr>
            <w:r w:rsidRPr="00DD16BA">
              <w:rPr>
                <w:rFonts w:ascii="Cambria" w:hAnsi="Cambria" w:cs="Cambria"/>
                <w:sz w:val="22"/>
                <w:szCs w:val="22"/>
              </w:rPr>
              <w:t>92%</w:t>
            </w:r>
          </w:p>
        </w:tc>
      </w:tr>
      <w:tr w:rsidR="004D1CB4">
        <w:trPr>
          <w:trHeight w:val="320"/>
        </w:trPr>
        <w:tc>
          <w:tcPr>
            <w:tcW w:w="0" w:type="auto"/>
          </w:tcPr>
          <w:p w:rsidR="004D1CB4" w:rsidRPr="00DD16BA" w:rsidRDefault="004D1CB4" w:rsidP="004D1CB4">
            <w:pPr>
              <w:pStyle w:val="DefaultParagraph"/>
              <w:spacing w:line="220" w:lineRule="exact"/>
              <w:ind w:left="100"/>
              <w:jc w:val="center"/>
              <w:rPr>
                <w:rFonts w:ascii="Cambria" w:hAnsi="Cambria" w:cs="Cambria"/>
                <w:b/>
                <w:bCs/>
                <w:sz w:val="22"/>
                <w:szCs w:val="22"/>
                <w:vertAlign w:val="superscript"/>
              </w:rPr>
            </w:pPr>
            <w:r w:rsidRPr="00DD16BA">
              <w:rPr>
                <w:rFonts w:ascii="Cambria" w:hAnsi="Cambria" w:cs="Cambria"/>
                <w:b/>
                <w:bCs/>
                <w:sz w:val="22"/>
                <w:szCs w:val="22"/>
              </w:rPr>
              <w:t>Access to Recreational Facilities</w:t>
            </w:r>
            <w:r w:rsidRPr="00DD16BA">
              <w:rPr>
                <w:rStyle w:val="FootnoteReference"/>
                <w:rFonts w:ascii="Cambria" w:hAnsi="Cambria" w:cs="Cambria"/>
                <w:b/>
                <w:bCs/>
                <w:sz w:val="22"/>
                <w:szCs w:val="22"/>
              </w:rPr>
              <w:footnoteReference w:id="31"/>
            </w:r>
          </w:p>
        </w:tc>
        <w:tc>
          <w:tcPr>
            <w:tcW w:w="0" w:type="auto"/>
            <w:vAlign w:val="center"/>
          </w:tcPr>
          <w:p w:rsidR="004D1CB4" w:rsidRPr="00DD16BA" w:rsidRDefault="004D1CB4" w:rsidP="004D1CB4">
            <w:pPr>
              <w:pStyle w:val="DefaultParagraph"/>
              <w:spacing w:line="220" w:lineRule="exact"/>
              <w:ind w:left="540"/>
              <w:jc w:val="center"/>
              <w:rPr>
                <w:rFonts w:ascii="Cambria" w:hAnsi="Cambria" w:cs="Cambria"/>
                <w:sz w:val="22"/>
                <w:szCs w:val="22"/>
              </w:rPr>
            </w:pPr>
            <w:r w:rsidRPr="00DD16BA">
              <w:rPr>
                <w:rFonts w:ascii="Cambria" w:hAnsi="Cambria" w:cs="Cambria"/>
                <w:sz w:val="22"/>
                <w:szCs w:val="22"/>
              </w:rPr>
              <w:t>N/A</w:t>
            </w:r>
          </w:p>
        </w:tc>
        <w:tc>
          <w:tcPr>
            <w:tcW w:w="0" w:type="auto"/>
            <w:vAlign w:val="center"/>
          </w:tcPr>
          <w:p w:rsidR="004D1CB4" w:rsidRPr="00DD16BA" w:rsidRDefault="004D1CB4" w:rsidP="004D1CB4">
            <w:pPr>
              <w:pStyle w:val="DefaultParagraph"/>
              <w:spacing w:line="220" w:lineRule="exact"/>
              <w:ind w:left="540"/>
              <w:jc w:val="center"/>
              <w:rPr>
                <w:rFonts w:ascii="Cambria" w:hAnsi="Cambria" w:cs="Cambria"/>
                <w:sz w:val="22"/>
                <w:szCs w:val="22"/>
              </w:rPr>
            </w:pPr>
            <w:r>
              <w:rPr>
                <w:rFonts w:ascii="Cambria" w:hAnsi="Cambria" w:cs="Cambria"/>
                <w:sz w:val="22"/>
                <w:szCs w:val="22"/>
              </w:rPr>
              <w:t>0</w:t>
            </w:r>
          </w:p>
        </w:tc>
        <w:tc>
          <w:tcPr>
            <w:tcW w:w="0" w:type="auto"/>
            <w:vAlign w:val="center"/>
          </w:tcPr>
          <w:p w:rsidR="004D1CB4" w:rsidRPr="00DD16BA" w:rsidRDefault="004D1CB4" w:rsidP="004D1CB4">
            <w:pPr>
              <w:pStyle w:val="DefaultParagraph"/>
              <w:spacing w:line="220" w:lineRule="exact"/>
              <w:ind w:left="380"/>
              <w:jc w:val="center"/>
              <w:rPr>
                <w:rFonts w:ascii="Cambria" w:hAnsi="Cambria" w:cs="Cambria"/>
                <w:sz w:val="22"/>
                <w:szCs w:val="22"/>
              </w:rPr>
            </w:pPr>
            <w:r w:rsidRPr="00DD16BA">
              <w:rPr>
                <w:rFonts w:ascii="Cambria" w:hAnsi="Cambria" w:cs="Cambria"/>
                <w:sz w:val="22"/>
                <w:szCs w:val="22"/>
              </w:rPr>
              <w:t>N/A</w:t>
            </w:r>
          </w:p>
        </w:tc>
        <w:tc>
          <w:tcPr>
            <w:tcW w:w="0" w:type="auto"/>
            <w:vAlign w:val="center"/>
          </w:tcPr>
          <w:p w:rsidR="004D1CB4" w:rsidRPr="00DD16BA" w:rsidRDefault="004D1CB4" w:rsidP="004D1CB4">
            <w:pPr>
              <w:pStyle w:val="DefaultParagraph"/>
              <w:spacing w:line="220" w:lineRule="exact"/>
              <w:ind w:left="380"/>
              <w:jc w:val="center"/>
              <w:rPr>
                <w:rFonts w:ascii="Cambria" w:hAnsi="Cambria" w:cs="Cambria"/>
                <w:sz w:val="22"/>
                <w:szCs w:val="22"/>
              </w:rPr>
            </w:pPr>
            <w:r>
              <w:rPr>
                <w:rFonts w:ascii="Cambria" w:hAnsi="Cambria" w:cs="Cambria"/>
                <w:sz w:val="22"/>
                <w:szCs w:val="22"/>
              </w:rPr>
              <w:t>10</w:t>
            </w:r>
          </w:p>
        </w:tc>
        <w:tc>
          <w:tcPr>
            <w:tcW w:w="0" w:type="auto"/>
            <w:vAlign w:val="center"/>
          </w:tcPr>
          <w:p w:rsidR="004D1CB4" w:rsidRPr="00DD16BA" w:rsidRDefault="004D1CB4" w:rsidP="004D1CB4">
            <w:pPr>
              <w:pStyle w:val="DefaultParagraph"/>
              <w:spacing w:line="220" w:lineRule="exact"/>
              <w:jc w:val="center"/>
              <w:rPr>
                <w:rFonts w:ascii="Cambria" w:hAnsi="Cambria" w:cs="Cambria"/>
                <w:sz w:val="22"/>
                <w:szCs w:val="22"/>
              </w:rPr>
            </w:pPr>
            <w:r w:rsidRPr="00DD16BA">
              <w:rPr>
                <w:rFonts w:ascii="Cambria" w:hAnsi="Cambria" w:cs="Cambria"/>
                <w:sz w:val="22"/>
                <w:szCs w:val="22"/>
              </w:rPr>
              <w:t>N/A</w:t>
            </w:r>
          </w:p>
        </w:tc>
        <w:tc>
          <w:tcPr>
            <w:tcW w:w="0" w:type="auto"/>
            <w:vAlign w:val="center"/>
          </w:tcPr>
          <w:p w:rsidR="004D1CB4" w:rsidRPr="00DD16BA" w:rsidRDefault="004D1CB4" w:rsidP="004D1CB4">
            <w:pPr>
              <w:pStyle w:val="DefaultParagraph"/>
              <w:spacing w:line="220" w:lineRule="exact"/>
              <w:jc w:val="center"/>
              <w:rPr>
                <w:rFonts w:ascii="Cambria" w:hAnsi="Cambria" w:cs="Cambria"/>
                <w:sz w:val="22"/>
                <w:szCs w:val="22"/>
              </w:rPr>
            </w:pPr>
            <w:r>
              <w:rPr>
                <w:rFonts w:ascii="Cambria" w:hAnsi="Cambria" w:cs="Cambria"/>
                <w:sz w:val="22"/>
                <w:szCs w:val="22"/>
              </w:rPr>
              <w:t>17</w:t>
            </w:r>
          </w:p>
        </w:tc>
      </w:tr>
    </w:tbl>
    <w:p w:rsidR="00BF5653" w:rsidRPr="009E3E52" w:rsidRDefault="00BF5653" w:rsidP="00BF5653">
      <w:pPr>
        <w:rPr>
          <w:sz w:val="24"/>
          <w:szCs w:val="24"/>
        </w:rPr>
      </w:pPr>
    </w:p>
    <w:p w:rsidR="004D1CB4" w:rsidRPr="00566CB3" w:rsidRDefault="004D1CB4" w:rsidP="004D1CB4">
      <w:pPr>
        <w:jc w:val="center"/>
      </w:pPr>
      <w:bookmarkStart w:id="167" w:name="_Toc292981236"/>
      <w:bookmarkStart w:id="168" w:name="_Toc318638315"/>
      <w:r w:rsidRPr="00566CB3">
        <w:t>DISCUSSION</w:t>
      </w:r>
    </w:p>
    <w:p w:rsidR="004D1CB4" w:rsidRPr="009B6BD2" w:rsidRDefault="004D1CB4" w:rsidP="004D1CB4">
      <w:r w:rsidRPr="009B6BD2">
        <w:t>According to Figure 4.5</w:t>
      </w:r>
      <w:r w:rsidR="003C240D" w:rsidRPr="009B6BD2">
        <w:t>,</w:t>
      </w:r>
      <w:r w:rsidRPr="009B6BD2">
        <w:t xml:space="preserve"> Linn County is below the National Benchmark for their access to healthy foods and access to recreational facilities.  Each environmental relationship has its own direct impact on the health of a population. Through the presented measurements it shows not only that Linn County</w:t>
      </w:r>
      <w:r w:rsidR="00324BDB" w:rsidRPr="009B6BD2">
        <w:t>,</w:t>
      </w:r>
      <w:r w:rsidRPr="009B6BD2">
        <w:t xml:space="preserve"> but also the state of Missouri are below two of the three National Benchmarks in terms of creating a healthy environment.  Although the air pollution-ozone days is equal to the National Benchmark</w:t>
      </w:r>
      <w:r w:rsidR="00324BDB" w:rsidRPr="009B6BD2">
        <w:t>,</w:t>
      </w:r>
      <w:r w:rsidRPr="009B6BD2">
        <w:t xml:space="preserve"> there is a significant difference being presented in terms of access to healthy food and recreational facilities.</w:t>
      </w:r>
    </w:p>
    <w:p w:rsidR="004D1CB4" w:rsidRPr="009B6BD2" w:rsidRDefault="004D1CB4" w:rsidP="004D1CB4">
      <w:r w:rsidRPr="009B6BD2">
        <w:t xml:space="preserve">Adequate environmental air quality is a prerequisite for good health and </w:t>
      </w:r>
      <w:r w:rsidR="009B6BD2" w:rsidRPr="009B6BD2">
        <w:t xml:space="preserve">poor quality </w:t>
      </w:r>
      <w:r w:rsidRPr="009B6BD2">
        <w:t>can be detrimental to the very young, the elderly, and those with chronic health conditions.  In addition, ambient air pollution can have many substantial negative health consequences</w:t>
      </w:r>
      <w:r w:rsidR="009B6BD2" w:rsidRPr="009B6BD2">
        <w:t>. T</w:t>
      </w:r>
      <w:r w:rsidRPr="009B6BD2">
        <w:t>he</w:t>
      </w:r>
      <w:r w:rsidR="009B6BD2" w:rsidRPr="009B6BD2">
        <w:t xml:space="preserve">se populations at risk include those with </w:t>
      </w:r>
      <w:r w:rsidRPr="009B6BD2">
        <w:t>decreased lung function, chronic bronchitis, asthma, and other adverse pulmonary effects. Linn County is sitting below the Missouri average indicating good overall air quality, but this should always be an environmental factor to keep an eye on.</w:t>
      </w:r>
    </w:p>
    <w:p w:rsidR="004D1CB4" w:rsidRPr="009B6BD2" w:rsidRDefault="004D1CB4" w:rsidP="004D1CB4">
      <w:r w:rsidRPr="009B6BD2">
        <w:t>With obesity rates continuing to rise, there should be an interest in looking at local food and recreational facilities in the local environment.  The variety, price, and availability of healthy foods in the local environment can play a role in whether those foods are consumed.  In addition, access to recreational facilities can influence individuals’ and communities’ choices to engage in physical activity.</w:t>
      </w:r>
      <w:r w:rsidRPr="009B6BD2">
        <w:rPr>
          <w:rStyle w:val="FootnoteReference"/>
        </w:rPr>
        <w:footnoteReference w:id="32"/>
      </w:r>
      <w:r w:rsidRPr="009B6BD2">
        <w:t xml:space="preserve">  </w:t>
      </w:r>
    </w:p>
    <w:p w:rsidR="004D1CB4" w:rsidRPr="009B6BD2" w:rsidRDefault="004D1CB4" w:rsidP="004D1CB4">
      <w:r w:rsidRPr="009B6BD2">
        <w:t>For the overall physical environment measures, Linn County ranks 71</w:t>
      </w:r>
      <w:r w:rsidRPr="009B6BD2">
        <w:rPr>
          <w:vertAlign w:val="superscript"/>
        </w:rPr>
        <w:t>st</w:t>
      </w:r>
      <w:r w:rsidRPr="009B6BD2">
        <w:t xml:space="preserve"> out of 115 counties evaluated, and the measures are significantly distant from the National Benchmark.  With the majority of the physical environment measures being altered by access to healthy foods and recreational facilities</w:t>
      </w:r>
      <w:r w:rsidR="00324BDB" w:rsidRPr="009B6BD2">
        <w:t>,</w:t>
      </w:r>
      <w:r w:rsidRPr="009B6BD2">
        <w:t xml:space="preserve"> there is a substantial need to place focus on increasing access to these areas.</w:t>
      </w:r>
    </w:p>
    <w:p w:rsidR="00BF5653" w:rsidRPr="00074652" w:rsidRDefault="00BE0244" w:rsidP="00BF5653">
      <w:pPr>
        <w:pStyle w:val="Heading1"/>
        <w:rPr>
          <w:color w:val="auto"/>
        </w:rPr>
      </w:pPr>
      <w:bookmarkStart w:id="169" w:name="_Toc229126500"/>
      <w:r>
        <w:rPr>
          <w:color w:val="auto"/>
          <w:lang w:val="en-US"/>
        </w:rPr>
        <w:lastRenderedPageBreak/>
        <w:t xml:space="preserve">V. </w:t>
      </w:r>
      <w:r w:rsidR="00BF5653" w:rsidRPr="00074652">
        <w:rPr>
          <w:color w:val="auto"/>
        </w:rPr>
        <w:t>Expert Opinion of Healthcare Partners &amp; Stakeholders in the Community</w:t>
      </w:r>
      <w:bookmarkEnd w:id="167"/>
      <w:bookmarkEnd w:id="168"/>
      <w:bookmarkEnd w:id="169"/>
    </w:p>
    <w:p w:rsidR="001F39BD" w:rsidRPr="009B6BD2" w:rsidRDefault="00BF5653" w:rsidP="001F39BD">
      <w:pPr>
        <w:spacing w:line="240" w:lineRule="auto"/>
      </w:pPr>
      <w:r w:rsidRPr="009B6BD2">
        <w:t>This section will discuss areas of weakness as identified by key health care service providers</w:t>
      </w:r>
      <w:r w:rsidR="002A0564" w:rsidRPr="009B6BD2">
        <w:t xml:space="preserve"> and Community stakeholders</w:t>
      </w:r>
      <w:r w:rsidRPr="009B6BD2">
        <w:t xml:space="preserve"> in L</w:t>
      </w:r>
      <w:r w:rsidR="002A0564" w:rsidRPr="009B6BD2">
        <w:t>in</w:t>
      </w:r>
      <w:r w:rsidR="00564C26" w:rsidRPr="009B6BD2">
        <w:t xml:space="preserve">n </w:t>
      </w:r>
      <w:r w:rsidRPr="009B6BD2">
        <w:t xml:space="preserve">County.  </w:t>
      </w:r>
      <w:r w:rsidR="004E68A8" w:rsidRPr="009B6BD2">
        <w:t>Key community stakeholders were contacted</w:t>
      </w:r>
      <w:r w:rsidR="007C1CBA" w:rsidRPr="009B6BD2">
        <w:t xml:space="preserve"> </w:t>
      </w:r>
      <w:r w:rsidR="00825AA9" w:rsidRPr="009B6BD2">
        <w:t>in-person</w:t>
      </w:r>
      <w:r w:rsidR="001E5711" w:rsidRPr="009B6BD2">
        <w:t xml:space="preserve"> and interviewed with regard to community health indicators deficiencies</w:t>
      </w:r>
      <w:r w:rsidR="00825AA9" w:rsidRPr="009B6BD2">
        <w:t xml:space="preserve">. The contact with </w:t>
      </w:r>
      <w:r w:rsidRPr="009B6BD2">
        <w:t>hospital executives and representatives fro</w:t>
      </w:r>
      <w:r w:rsidR="00825AA9" w:rsidRPr="009B6BD2">
        <w:t xml:space="preserve">m community organizations </w:t>
      </w:r>
      <w:r w:rsidRPr="009B6BD2">
        <w:t>include:</w:t>
      </w:r>
    </w:p>
    <w:p w:rsidR="001F39BD" w:rsidRDefault="001F39BD" w:rsidP="001F39BD">
      <w:pPr>
        <w:pStyle w:val="Heading4"/>
        <w:sectPr w:rsidR="001F39BD" w:rsidSect="005433FC">
          <w:type w:val="continuous"/>
          <w:pgSz w:w="12240" w:h="15840"/>
          <w:pgMar w:top="1440" w:right="1440" w:bottom="1440" w:left="1440" w:header="720" w:footer="720" w:gutter="0"/>
          <w:cols w:space="720"/>
          <w:docGrid w:linePitch="360"/>
        </w:sectPr>
      </w:pPr>
      <w:r>
        <w:t>Linn County Medical Professionals and Administrators</w:t>
      </w:r>
    </w:p>
    <w:p w:rsidR="00825AA9" w:rsidRPr="009B6BD2" w:rsidRDefault="00825AA9" w:rsidP="00BF5653">
      <w:pPr>
        <w:spacing w:after="0" w:line="240" w:lineRule="auto"/>
      </w:pPr>
      <w:r w:rsidRPr="009B6BD2">
        <w:lastRenderedPageBreak/>
        <w:t>Phil Hamilton</w:t>
      </w:r>
      <w:r w:rsidR="0046464A" w:rsidRPr="009B6BD2">
        <w:t>,</w:t>
      </w:r>
      <w:r w:rsidRPr="009B6BD2">
        <w:t xml:space="preserve"> CEO, Pershing Health System</w:t>
      </w:r>
    </w:p>
    <w:p w:rsidR="001F39BD" w:rsidRPr="009B6BD2" w:rsidRDefault="00825AA9" w:rsidP="00BF5653">
      <w:pPr>
        <w:spacing w:after="0" w:line="240" w:lineRule="auto"/>
      </w:pPr>
      <w:r w:rsidRPr="009B6BD2">
        <w:t>Gary Tandy</w:t>
      </w:r>
      <w:r w:rsidR="0046464A" w:rsidRPr="009B6BD2">
        <w:t>,</w:t>
      </w:r>
      <w:r w:rsidRPr="009B6BD2">
        <w:t xml:space="preserve"> CFO, Pershing Health System</w:t>
      </w:r>
    </w:p>
    <w:p w:rsidR="00825AA9" w:rsidRPr="009B6BD2" w:rsidRDefault="001F39BD" w:rsidP="00BF5653">
      <w:pPr>
        <w:spacing w:after="0" w:line="240" w:lineRule="auto"/>
      </w:pPr>
      <w:r w:rsidRPr="009B6BD2">
        <w:t>Lo</w:t>
      </w:r>
      <w:r w:rsidR="001E5711" w:rsidRPr="009B6BD2">
        <w:t>rna Woodside</w:t>
      </w:r>
      <w:r w:rsidR="00324BDB" w:rsidRPr="009B6BD2">
        <w:t>,</w:t>
      </w:r>
      <w:r w:rsidR="001E5711" w:rsidRPr="009B6BD2">
        <w:t xml:space="preserve"> CAPPM, Director of</w:t>
      </w:r>
      <w:r w:rsidR="00825AA9" w:rsidRPr="009B6BD2">
        <w:t xml:space="preserve"> </w:t>
      </w:r>
      <w:r w:rsidRPr="009B6BD2">
        <w:t>Clinics</w:t>
      </w:r>
    </w:p>
    <w:p w:rsidR="00825AA9" w:rsidRPr="009B6BD2" w:rsidRDefault="00825AA9" w:rsidP="00BF5653">
      <w:pPr>
        <w:spacing w:after="0" w:line="240" w:lineRule="auto"/>
      </w:pPr>
      <w:r w:rsidRPr="009B6BD2">
        <w:t xml:space="preserve">Alex Dymek, M.D., Pershing Health System </w:t>
      </w:r>
    </w:p>
    <w:p w:rsidR="00825AA9" w:rsidRPr="009B6BD2" w:rsidRDefault="00825AA9" w:rsidP="00BF5653">
      <w:pPr>
        <w:spacing w:after="0" w:line="240" w:lineRule="auto"/>
      </w:pPr>
      <w:r w:rsidRPr="009B6BD2">
        <w:t>Grace Dymek</w:t>
      </w:r>
      <w:r w:rsidR="003E4F98" w:rsidRPr="009B6BD2">
        <w:t>,</w:t>
      </w:r>
      <w:r w:rsidRPr="009B6BD2">
        <w:t xml:space="preserve"> M.D., Pershing Health System </w:t>
      </w:r>
    </w:p>
    <w:p w:rsidR="00825AA9" w:rsidRPr="009B6BD2" w:rsidRDefault="00825AA9" w:rsidP="00BF5653">
      <w:pPr>
        <w:spacing w:after="0" w:line="240" w:lineRule="auto"/>
      </w:pPr>
      <w:r w:rsidRPr="009B6BD2">
        <w:t xml:space="preserve">Kelly Dudley FNP, Meadville Medical Clinic </w:t>
      </w:r>
    </w:p>
    <w:p w:rsidR="00825AA9" w:rsidRPr="009B6BD2" w:rsidRDefault="00825AA9" w:rsidP="00BF5653">
      <w:pPr>
        <w:spacing w:after="0" w:line="240" w:lineRule="auto"/>
      </w:pPr>
      <w:r w:rsidRPr="009B6BD2">
        <w:lastRenderedPageBreak/>
        <w:t>Michael Crist</w:t>
      </w:r>
      <w:r w:rsidR="0046464A" w:rsidRPr="009B6BD2">
        <w:t>,</w:t>
      </w:r>
      <w:r w:rsidRPr="009B6BD2">
        <w:t xml:space="preserve"> D.O., Independent Practitioner</w:t>
      </w:r>
    </w:p>
    <w:p w:rsidR="001F39BD" w:rsidRPr="009B6BD2" w:rsidRDefault="00825AA9" w:rsidP="00BF5653">
      <w:pPr>
        <w:spacing w:after="0" w:line="240" w:lineRule="auto"/>
      </w:pPr>
      <w:r w:rsidRPr="009B6BD2">
        <w:t xml:space="preserve">Karla </w:t>
      </w:r>
      <w:r w:rsidR="001F39BD" w:rsidRPr="009B6BD2">
        <w:t>Clubine</w:t>
      </w:r>
      <w:r w:rsidR="0046464A" w:rsidRPr="009B6BD2">
        <w:t>,</w:t>
      </w:r>
      <w:r w:rsidR="001F39BD" w:rsidRPr="009B6BD2">
        <w:t xml:space="preserve"> FNP, Applegate Medical Group </w:t>
      </w:r>
    </w:p>
    <w:p w:rsidR="001F39BD" w:rsidRPr="009B6BD2" w:rsidRDefault="001F39BD" w:rsidP="00BF5653">
      <w:pPr>
        <w:spacing w:after="0" w:line="240" w:lineRule="auto"/>
      </w:pPr>
      <w:r w:rsidRPr="009B6BD2">
        <w:t>Vanessa Lincoln</w:t>
      </w:r>
      <w:r w:rsidR="00324BDB" w:rsidRPr="009B6BD2">
        <w:t>,</w:t>
      </w:r>
      <w:r w:rsidR="009B6BD2" w:rsidRPr="009B6BD2">
        <w:t xml:space="preserve"> MSN, RN, County Health Department</w:t>
      </w:r>
    </w:p>
    <w:p w:rsidR="001F39BD" w:rsidRPr="009B6BD2" w:rsidRDefault="001F39BD" w:rsidP="00BF5653">
      <w:pPr>
        <w:spacing w:after="0" w:line="240" w:lineRule="auto"/>
      </w:pPr>
      <w:r w:rsidRPr="009B6BD2">
        <w:t>Theresa Doss</w:t>
      </w:r>
      <w:r w:rsidR="00324BDB" w:rsidRPr="009B6BD2">
        <w:t>,</w:t>
      </w:r>
      <w:r w:rsidRPr="009B6BD2">
        <w:t xml:space="preserve"> RN, Brookfield School District</w:t>
      </w:r>
    </w:p>
    <w:p w:rsidR="0046464A" w:rsidRPr="009B6BD2" w:rsidRDefault="0046464A" w:rsidP="0046464A">
      <w:pPr>
        <w:spacing w:after="0" w:line="240" w:lineRule="auto"/>
      </w:pPr>
      <w:r w:rsidRPr="009B6BD2">
        <w:t>Mike Young, Director, Life Care Center</w:t>
      </w:r>
    </w:p>
    <w:p w:rsidR="00391467" w:rsidRDefault="00391467" w:rsidP="00BF5653">
      <w:pPr>
        <w:spacing w:after="0" w:line="240" w:lineRule="auto"/>
        <w:sectPr w:rsidR="00391467" w:rsidSect="00564C26">
          <w:type w:val="continuous"/>
          <w:pgSz w:w="12240" w:h="15840"/>
          <w:pgMar w:top="1440" w:right="1440" w:bottom="1440" w:left="1440" w:header="720" w:footer="720" w:gutter="0"/>
          <w:cols w:num="2" w:space="720"/>
          <w:docGrid w:linePitch="360"/>
        </w:sectPr>
      </w:pPr>
    </w:p>
    <w:p w:rsidR="001F39BD" w:rsidRDefault="001F39BD" w:rsidP="00564C26">
      <w:pPr>
        <w:spacing w:after="0" w:line="240" w:lineRule="auto"/>
      </w:pPr>
    </w:p>
    <w:p w:rsidR="001E5711" w:rsidRDefault="00D32F7A" w:rsidP="00D32F7A">
      <w:pPr>
        <w:pStyle w:val="Heading4"/>
      </w:pPr>
      <w:r>
        <w:t>Community Residents</w:t>
      </w:r>
      <w:r w:rsidR="00AE2F6E">
        <w:t xml:space="preserve"> and Representatives</w:t>
      </w:r>
      <w:r w:rsidR="00734F84">
        <w:t xml:space="preserve"> of Medically Underserved, Low-income, and Minority Populations</w:t>
      </w:r>
    </w:p>
    <w:p w:rsidR="00F0757E" w:rsidRDefault="00F0757E" w:rsidP="00564C26">
      <w:pPr>
        <w:spacing w:after="0" w:line="240" w:lineRule="auto"/>
        <w:sectPr w:rsidR="00F0757E" w:rsidSect="00564C26">
          <w:type w:val="continuous"/>
          <w:pgSz w:w="12240" w:h="15840"/>
          <w:pgMar w:top="1440" w:right="1440" w:bottom="1440" w:left="1440" w:header="720" w:footer="720" w:gutter="0"/>
          <w:cols w:space="720"/>
          <w:docGrid w:linePitch="360"/>
        </w:sectPr>
      </w:pPr>
    </w:p>
    <w:p w:rsidR="00D32F7A" w:rsidRPr="009E5BD4" w:rsidRDefault="00F0757E" w:rsidP="00564C26">
      <w:pPr>
        <w:spacing w:after="0" w:line="240" w:lineRule="auto"/>
      </w:pPr>
      <w:r w:rsidRPr="009E5BD4">
        <w:lastRenderedPageBreak/>
        <w:t>David Blakely Minister, Park Baptist Church</w:t>
      </w:r>
    </w:p>
    <w:p w:rsidR="00F0757E" w:rsidRPr="009E5BD4" w:rsidRDefault="00F0757E" w:rsidP="00564C26">
      <w:pPr>
        <w:spacing w:after="0" w:line="240" w:lineRule="auto"/>
      </w:pPr>
      <w:r w:rsidRPr="009E5BD4">
        <w:t>Joyce</w:t>
      </w:r>
      <w:r w:rsidR="00AE2F6E" w:rsidRPr="009E5BD4">
        <w:t xml:space="preserve"> Rulon Community Volunteer, PHS</w:t>
      </w:r>
      <w:r w:rsidRPr="009E5BD4">
        <w:t xml:space="preserve"> </w:t>
      </w:r>
    </w:p>
    <w:p w:rsidR="006D10FC" w:rsidRPr="009E5BD4" w:rsidRDefault="006D10FC" w:rsidP="00564C26">
      <w:pPr>
        <w:spacing w:after="0" w:line="240" w:lineRule="auto"/>
      </w:pPr>
      <w:r w:rsidRPr="009E5BD4">
        <w:t>Gay Bell, Marceline Area Nutrition Program</w:t>
      </w:r>
    </w:p>
    <w:p w:rsidR="00AE2F6E" w:rsidRPr="009E5BD4" w:rsidRDefault="00AE2F6E" w:rsidP="00564C26">
      <w:pPr>
        <w:spacing w:after="0" w:line="240" w:lineRule="auto"/>
      </w:pPr>
      <w:r w:rsidRPr="009E5BD4">
        <w:t>Julia Neil Community Volunteer, PHS</w:t>
      </w:r>
    </w:p>
    <w:p w:rsidR="007F1CAB" w:rsidRPr="009E5BD4" w:rsidRDefault="00E00ED3" w:rsidP="00564C26">
      <w:pPr>
        <w:spacing w:after="0" w:line="240" w:lineRule="auto"/>
      </w:pPr>
      <w:r w:rsidRPr="009E5BD4">
        <w:t>O.J. Rodriguez Director, North Central</w:t>
      </w:r>
      <w:r w:rsidR="007F1CAB" w:rsidRPr="009E5BD4">
        <w:t xml:space="preserve"> YMCA</w:t>
      </w:r>
    </w:p>
    <w:p w:rsidR="007F1CAB" w:rsidRPr="009E5BD4" w:rsidRDefault="00E00ED3" w:rsidP="00564C26">
      <w:pPr>
        <w:spacing w:after="0" w:line="240" w:lineRule="auto"/>
      </w:pPr>
      <w:r w:rsidRPr="009E5BD4">
        <w:lastRenderedPageBreak/>
        <w:t>Karen Rojas Director , Senate Bill 40</w:t>
      </w:r>
    </w:p>
    <w:p w:rsidR="00E00ED3" w:rsidRPr="009E5BD4" w:rsidRDefault="00E00ED3" w:rsidP="00564C26">
      <w:pPr>
        <w:spacing w:after="0" w:line="240" w:lineRule="auto"/>
      </w:pPr>
      <w:r w:rsidRPr="009E5BD4">
        <w:t>Jamie Haston Case Manager, Senate Bill 40</w:t>
      </w:r>
    </w:p>
    <w:p w:rsidR="00E00ED3" w:rsidRPr="009E5BD4" w:rsidRDefault="00E00ED3" w:rsidP="00564C26">
      <w:pPr>
        <w:spacing w:after="0" w:line="240" w:lineRule="auto"/>
      </w:pPr>
      <w:r w:rsidRPr="009E5BD4">
        <w:t>Sabrina Fisher Case Manager, Senate Bill 40</w:t>
      </w:r>
    </w:p>
    <w:p w:rsidR="007F1CAB" w:rsidRPr="009E5BD4" w:rsidRDefault="00484470" w:rsidP="00564C26">
      <w:pPr>
        <w:spacing w:after="0" w:line="240" w:lineRule="auto"/>
      </w:pPr>
      <w:r w:rsidRPr="009E5BD4">
        <w:t xml:space="preserve">Mike White Pastor, Brookfield Ministries </w:t>
      </w:r>
    </w:p>
    <w:p w:rsidR="00F0757E" w:rsidRDefault="00F0757E" w:rsidP="0004369B">
      <w:pPr>
        <w:pStyle w:val="Heading3"/>
        <w:rPr>
          <w:color w:val="auto"/>
        </w:rPr>
        <w:sectPr w:rsidR="00F0757E" w:rsidSect="00F0757E">
          <w:type w:val="continuous"/>
          <w:pgSz w:w="12240" w:h="15840"/>
          <w:pgMar w:top="1440" w:right="1440" w:bottom="1440" w:left="1440" w:header="720" w:footer="720" w:gutter="0"/>
          <w:cols w:num="2" w:space="720"/>
          <w:docGrid w:linePitch="360"/>
        </w:sectPr>
      </w:pPr>
      <w:bookmarkStart w:id="170" w:name="_Toc318638324"/>
      <w:bookmarkStart w:id="171" w:name="_Toc319254825"/>
    </w:p>
    <w:p w:rsidR="00BF5653" w:rsidRPr="0004369B" w:rsidRDefault="00D2730B" w:rsidP="0004369B">
      <w:pPr>
        <w:pStyle w:val="Heading3"/>
        <w:rPr>
          <w:color w:val="auto"/>
        </w:rPr>
      </w:pPr>
      <w:bookmarkStart w:id="172" w:name="_Toc229126501"/>
      <w:r>
        <w:rPr>
          <w:color w:val="auto"/>
        </w:rPr>
        <w:lastRenderedPageBreak/>
        <w:t>Public O</w:t>
      </w:r>
      <w:r w:rsidR="0004369B">
        <w:rPr>
          <w:color w:val="auto"/>
        </w:rPr>
        <w:t>pinion</w:t>
      </w:r>
      <w:bookmarkEnd w:id="170"/>
      <w:bookmarkEnd w:id="171"/>
      <w:bookmarkEnd w:id="172"/>
      <w:r w:rsidR="00BF5653">
        <w:tab/>
      </w:r>
    </w:p>
    <w:p w:rsidR="00BF5653" w:rsidRPr="009E5BD4" w:rsidRDefault="00564C26" w:rsidP="005C4CF6">
      <w:pPr>
        <w:spacing w:line="240" w:lineRule="auto"/>
      </w:pPr>
      <w:r w:rsidRPr="009E5BD4">
        <w:t>Primarily</w:t>
      </w:r>
      <w:r w:rsidR="00324BDB" w:rsidRPr="009E5BD4">
        <w:t>,</w:t>
      </w:r>
      <w:r w:rsidRPr="009E5BD4">
        <w:t xml:space="preserve"> information was gathered through </w:t>
      </w:r>
      <w:r w:rsidR="00734F84">
        <w:t>in-person</w:t>
      </w:r>
      <w:r w:rsidR="002C66CD" w:rsidRPr="009E5BD4">
        <w:t xml:space="preserve"> interviews of community stakeholders and medical practitioners that reside in Linn County.  Discussion was</w:t>
      </w:r>
      <w:r w:rsidR="00BF5653" w:rsidRPr="009E5BD4">
        <w:t xml:space="preserve"> focused on distinguishing the </w:t>
      </w:r>
      <w:r w:rsidR="00BB38BE" w:rsidRPr="009E5BD4">
        <w:t>critical</w:t>
      </w:r>
      <w:r w:rsidR="00BF5653" w:rsidRPr="009E5BD4">
        <w:t xml:space="preserve"> healthcare and public health needs within the L</w:t>
      </w:r>
      <w:r w:rsidR="002C66CD" w:rsidRPr="009E5BD4">
        <w:t>inn</w:t>
      </w:r>
      <w:r w:rsidR="004E68A8" w:rsidRPr="009E5BD4">
        <w:t xml:space="preserve"> </w:t>
      </w:r>
      <w:r w:rsidR="00BF5653" w:rsidRPr="009E5BD4">
        <w:t>County ar</w:t>
      </w:r>
      <w:r w:rsidR="004E68A8" w:rsidRPr="009E5BD4">
        <w:t>ea.  Throughout these discussions</w:t>
      </w:r>
      <w:r w:rsidR="00BF5653" w:rsidRPr="009E5BD4">
        <w:t xml:space="preserve">, </w:t>
      </w:r>
      <w:r w:rsidR="004E68A8" w:rsidRPr="009E5BD4">
        <w:t xml:space="preserve">participants were </w:t>
      </w:r>
      <w:r w:rsidR="002C66CD" w:rsidRPr="009E5BD4">
        <w:t xml:space="preserve">either representing </w:t>
      </w:r>
      <w:r w:rsidR="00A3288E">
        <w:t xml:space="preserve">themselves, </w:t>
      </w:r>
      <w:r w:rsidR="004E68A8" w:rsidRPr="009E5BD4">
        <w:t>their particular organization</w:t>
      </w:r>
      <w:r w:rsidR="00A3288E">
        <w:t>,</w:t>
      </w:r>
      <w:r w:rsidR="00BF5653" w:rsidRPr="009E5BD4">
        <w:t xml:space="preserve"> </w:t>
      </w:r>
      <w:r w:rsidR="00A3288E">
        <w:t>and/</w:t>
      </w:r>
      <w:r w:rsidR="004E68A8" w:rsidRPr="009E5BD4">
        <w:t xml:space="preserve">or the </w:t>
      </w:r>
      <w:r w:rsidR="002C66CD" w:rsidRPr="009E5BD4">
        <w:t>community in which they reside</w:t>
      </w:r>
      <w:r w:rsidR="004E68A8" w:rsidRPr="009E5BD4">
        <w:t xml:space="preserve">. </w:t>
      </w:r>
    </w:p>
    <w:p w:rsidR="00B03A4D" w:rsidRDefault="002C66CD" w:rsidP="005C4CF6">
      <w:pPr>
        <w:spacing w:line="240" w:lineRule="auto"/>
      </w:pPr>
      <w:r w:rsidRPr="009E5BD4">
        <w:t>The int</w:t>
      </w:r>
      <w:r w:rsidR="003929DB">
        <w:t xml:space="preserve">erviews were conducted in an open </w:t>
      </w:r>
      <w:r w:rsidR="00B03A4D">
        <w:t>format</w:t>
      </w:r>
      <w:r w:rsidR="000754D6" w:rsidRPr="009E5BD4">
        <w:t>,</w:t>
      </w:r>
      <w:r w:rsidRPr="009E5BD4">
        <w:t xml:space="preserve"> with each individual being presented with an opportunity to voice their opinion or concerns regarding the health status of Linn County. </w:t>
      </w:r>
    </w:p>
    <w:p w:rsidR="00B03A4D" w:rsidRDefault="003929DB" w:rsidP="003929DB">
      <w:pPr>
        <w:pStyle w:val="Heading4"/>
      </w:pPr>
      <w:r>
        <w:t>Interview Topics</w:t>
      </w:r>
    </w:p>
    <w:p w:rsidR="003929DB" w:rsidRDefault="003929DB" w:rsidP="00B03A4D">
      <w:pPr>
        <w:numPr>
          <w:ilvl w:val="0"/>
          <w:numId w:val="34"/>
        </w:numPr>
        <w:spacing w:line="240" w:lineRule="auto"/>
        <w:ind w:left="778"/>
        <w:contextualSpacing/>
        <w:sectPr w:rsidR="003929DB" w:rsidSect="00564C26">
          <w:type w:val="continuous"/>
          <w:pgSz w:w="12240" w:h="15840"/>
          <w:pgMar w:top="1440" w:right="1440" w:bottom="1440" w:left="1440" w:header="720" w:footer="720" w:gutter="0"/>
          <w:cols w:space="720"/>
          <w:docGrid w:linePitch="360"/>
        </w:sectPr>
      </w:pPr>
    </w:p>
    <w:p w:rsidR="00B03A4D" w:rsidRDefault="00B03A4D" w:rsidP="00B03A4D">
      <w:pPr>
        <w:numPr>
          <w:ilvl w:val="0"/>
          <w:numId w:val="34"/>
        </w:numPr>
        <w:spacing w:line="240" w:lineRule="auto"/>
        <w:ind w:left="778"/>
        <w:contextualSpacing/>
      </w:pPr>
      <w:r>
        <w:lastRenderedPageBreak/>
        <w:t>Health Outcomes</w:t>
      </w:r>
    </w:p>
    <w:p w:rsidR="00B03A4D" w:rsidRDefault="00B03A4D" w:rsidP="00B03A4D">
      <w:pPr>
        <w:numPr>
          <w:ilvl w:val="1"/>
          <w:numId w:val="34"/>
        </w:numPr>
        <w:spacing w:line="240" w:lineRule="auto"/>
        <w:contextualSpacing/>
      </w:pPr>
      <w:r>
        <w:t>Mortality and Morbidity</w:t>
      </w:r>
    </w:p>
    <w:p w:rsidR="00B03A4D" w:rsidRDefault="00B03A4D" w:rsidP="00B03A4D">
      <w:pPr>
        <w:numPr>
          <w:ilvl w:val="0"/>
          <w:numId w:val="34"/>
        </w:numPr>
        <w:spacing w:line="240" w:lineRule="auto"/>
        <w:contextualSpacing/>
      </w:pPr>
      <w:r>
        <w:t xml:space="preserve">Health Factors </w:t>
      </w:r>
    </w:p>
    <w:p w:rsidR="00B03A4D" w:rsidRDefault="00B03A4D" w:rsidP="00B03A4D">
      <w:pPr>
        <w:numPr>
          <w:ilvl w:val="1"/>
          <w:numId w:val="34"/>
        </w:numPr>
        <w:spacing w:line="240" w:lineRule="auto"/>
        <w:contextualSpacing/>
      </w:pPr>
      <w:r>
        <w:t xml:space="preserve">Smoking, Obesity, </w:t>
      </w:r>
      <w:r w:rsidR="003929DB">
        <w:t>Physical inactivity, STI, Teen birth rate</w:t>
      </w:r>
    </w:p>
    <w:p w:rsidR="003929DB" w:rsidRDefault="003929DB" w:rsidP="003929DB">
      <w:pPr>
        <w:numPr>
          <w:ilvl w:val="0"/>
          <w:numId w:val="34"/>
        </w:numPr>
        <w:spacing w:line="240" w:lineRule="auto"/>
        <w:contextualSpacing/>
      </w:pPr>
      <w:r>
        <w:t>Clinical Care</w:t>
      </w:r>
    </w:p>
    <w:p w:rsidR="003929DB" w:rsidRDefault="003929DB" w:rsidP="003929DB">
      <w:pPr>
        <w:numPr>
          <w:ilvl w:val="1"/>
          <w:numId w:val="34"/>
        </w:numPr>
        <w:spacing w:line="240" w:lineRule="auto"/>
        <w:contextualSpacing/>
      </w:pPr>
      <w:r>
        <w:t>Uninsured, Primary care physicians, Diabetic screening</w:t>
      </w:r>
    </w:p>
    <w:p w:rsidR="003929DB" w:rsidRDefault="003929DB" w:rsidP="003929DB">
      <w:pPr>
        <w:numPr>
          <w:ilvl w:val="0"/>
          <w:numId w:val="34"/>
        </w:numPr>
        <w:spacing w:line="240" w:lineRule="auto"/>
        <w:contextualSpacing/>
      </w:pPr>
      <w:r>
        <w:t>Social and Economic Factors</w:t>
      </w:r>
    </w:p>
    <w:p w:rsidR="003929DB" w:rsidRDefault="003929DB" w:rsidP="003929DB">
      <w:pPr>
        <w:numPr>
          <w:ilvl w:val="1"/>
          <w:numId w:val="34"/>
        </w:numPr>
        <w:spacing w:line="240" w:lineRule="auto"/>
        <w:contextualSpacing/>
      </w:pPr>
      <w:r>
        <w:t>Unemployment, Children in poverty, Inadequate social support, Single parents</w:t>
      </w:r>
    </w:p>
    <w:p w:rsidR="003929DB" w:rsidRDefault="003929DB" w:rsidP="003929DB">
      <w:pPr>
        <w:numPr>
          <w:ilvl w:val="0"/>
          <w:numId w:val="34"/>
        </w:numPr>
        <w:spacing w:line="240" w:lineRule="auto"/>
        <w:contextualSpacing/>
      </w:pPr>
      <w:r>
        <w:lastRenderedPageBreak/>
        <w:t>Physical Environment</w:t>
      </w:r>
    </w:p>
    <w:p w:rsidR="00B03A4D" w:rsidRDefault="003929DB" w:rsidP="003929DB">
      <w:pPr>
        <w:numPr>
          <w:ilvl w:val="1"/>
          <w:numId w:val="34"/>
        </w:numPr>
        <w:spacing w:line="240" w:lineRule="auto"/>
        <w:contextualSpacing/>
      </w:pPr>
      <w:r>
        <w:t>Access to recreational facilities, Limited access to healthy foods</w:t>
      </w:r>
    </w:p>
    <w:p w:rsidR="003929DB" w:rsidRDefault="003929DB" w:rsidP="003929DB">
      <w:pPr>
        <w:numPr>
          <w:ilvl w:val="0"/>
          <w:numId w:val="34"/>
        </w:numPr>
        <w:spacing w:line="240" w:lineRule="auto"/>
        <w:contextualSpacing/>
      </w:pPr>
      <w:r>
        <w:t>Impact of Pershing Health System</w:t>
      </w:r>
    </w:p>
    <w:p w:rsidR="003929DB" w:rsidRDefault="003929DB" w:rsidP="003929DB">
      <w:pPr>
        <w:numPr>
          <w:ilvl w:val="1"/>
          <w:numId w:val="34"/>
        </w:numPr>
        <w:spacing w:line="240" w:lineRule="auto"/>
        <w:contextualSpacing/>
      </w:pPr>
      <w:r>
        <w:t xml:space="preserve">Addressing Needs </w:t>
      </w:r>
    </w:p>
    <w:p w:rsidR="003929DB" w:rsidRDefault="003929DB" w:rsidP="003929DB">
      <w:pPr>
        <w:numPr>
          <w:ilvl w:val="1"/>
          <w:numId w:val="34"/>
        </w:numPr>
        <w:spacing w:line="240" w:lineRule="auto"/>
        <w:contextualSpacing/>
      </w:pPr>
      <w:r>
        <w:t>Areas for collaboration</w:t>
      </w:r>
    </w:p>
    <w:p w:rsidR="003929DB" w:rsidRDefault="003929DB" w:rsidP="003929DB">
      <w:pPr>
        <w:numPr>
          <w:ilvl w:val="1"/>
          <w:numId w:val="34"/>
        </w:numPr>
        <w:spacing w:line="240" w:lineRule="auto"/>
        <w:contextualSpacing/>
      </w:pPr>
      <w:r>
        <w:t>Areas for improvement</w:t>
      </w:r>
    </w:p>
    <w:p w:rsidR="003929DB" w:rsidRDefault="003929DB" w:rsidP="003929DB">
      <w:pPr>
        <w:numPr>
          <w:ilvl w:val="0"/>
          <w:numId w:val="34"/>
        </w:numPr>
        <w:spacing w:line="240" w:lineRule="auto"/>
        <w:contextualSpacing/>
      </w:pPr>
      <w:r>
        <w:t>Community Concerns</w:t>
      </w:r>
    </w:p>
    <w:p w:rsidR="003929DB" w:rsidRDefault="003929DB" w:rsidP="003929DB">
      <w:pPr>
        <w:numPr>
          <w:ilvl w:val="1"/>
          <w:numId w:val="34"/>
        </w:numPr>
        <w:spacing w:line="240" w:lineRule="auto"/>
        <w:contextualSpacing/>
      </w:pPr>
      <w:r>
        <w:t>Changes in health behaviors</w:t>
      </w:r>
    </w:p>
    <w:p w:rsidR="003929DB" w:rsidRDefault="003929DB" w:rsidP="005C4CF6">
      <w:pPr>
        <w:numPr>
          <w:ilvl w:val="1"/>
          <w:numId w:val="34"/>
        </w:numPr>
        <w:spacing w:line="240" w:lineRule="auto"/>
        <w:contextualSpacing/>
        <w:sectPr w:rsidR="003929DB" w:rsidSect="003929DB">
          <w:type w:val="continuous"/>
          <w:pgSz w:w="12240" w:h="15840"/>
          <w:pgMar w:top="1440" w:right="1440" w:bottom="1440" w:left="1440" w:header="720" w:footer="720" w:gutter="0"/>
          <w:cols w:num="2" w:space="720"/>
          <w:docGrid w:linePitch="360"/>
        </w:sectPr>
      </w:pPr>
      <w:r>
        <w:t>Lack of mental health providers</w:t>
      </w:r>
    </w:p>
    <w:p w:rsidR="00C85BBF" w:rsidRDefault="002C66CD" w:rsidP="00657D88">
      <w:pPr>
        <w:spacing w:line="240" w:lineRule="auto"/>
      </w:pPr>
      <w:r w:rsidRPr="009E5BD4">
        <w:lastRenderedPageBreak/>
        <w:t>Opinion was taken from many sources outside of Pershing Hea</w:t>
      </w:r>
      <w:r w:rsidR="000754D6" w:rsidRPr="009E5BD4">
        <w:t xml:space="preserve">lth System and includes; Public Health Officials, Independent Practitioners, and Government Employed Medical Professionals. </w:t>
      </w:r>
      <w:bookmarkStart w:id="173" w:name="_Toc292981237"/>
      <w:bookmarkStart w:id="174" w:name="_Toc318638316"/>
    </w:p>
    <w:p w:rsidR="00C85BBF" w:rsidRPr="0004369B" w:rsidRDefault="00C85BBF" w:rsidP="00C85BBF">
      <w:pPr>
        <w:pStyle w:val="Heading3"/>
        <w:ind w:firstLine="720"/>
        <w:jc w:val="left"/>
        <w:rPr>
          <w:color w:val="auto"/>
        </w:rPr>
      </w:pPr>
      <w:bookmarkStart w:id="175" w:name="_Toc229126502"/>
      <w:r>
        <w:rPr>
          <w:color w:val="auto"/>
        </w:rPr>
        <w:t>Medically Underserved, Low-Income, and Minority Populations</w:t>
      </w:r>
      <w:bookmarkEnd w:id="175"/>
      <w:r>
        <w:tab/>
      </w:r>
    </w:p>
    <w:p w:rsidR="00CD2059" w:rsidRDefault="00A3288E" w:rsidP="0004369B">
      <w:pPr>
        <w:spacing w:after="0" w:line="240" w:lineRule="auto"/>
        <w:contextualSpacing/>
      </w:pPr>
      <w:r>
        <w:t xml:space="preserve">Many of the individuals listed above are involved with organizations that focus on the medical underserved and indigent populations in Linn County. </w:t>
      </w:r>
      <w:r w:rsidR="00657D88">
        <w:t xml:space="preserve"> </w:t>
      </w:r>
      <w:r w:rsidR="00657D88" w:rsidRPr="009E5BD4">
        <w:t>After the interview process with the key stakeholders and community residents, we discovered that there is agreement among the group with regard to the perceived health care needs for Linn County</w:t>
      </w:r>
      <w:r w:rsidR="00657D88">
        <w:t xml:space="preserve"> and particularly the medically underserved within Linn County</w:t>
      </w:r>
      <w:r w:rsidR="00657D88" w:rsidRPr="009E5BD4">
        <w:t xml:space="preserve">.  The access to health care was identified by most of the stakeholders and providers as being a major issue in Linn County.  Lack of access was attributed to not having enough primary care physicians and lack of specialty care for both the insured and uninsured.  Resources are over-extended when there is a need to get patients to a provider of services that is not available in Linn County.  Lack of programs targeting preventive services and education for lifestyle choices and chronic illness, especially in relation to smoking and obesity was also an issue. </w:t>
      </w:r>
    </w:p>
    <w:p w:rsidR="00BF5653" w:rsidRPr="00074652" w:rsidRDefault="00D2730B" w:rsidP="0004369B">
      <w:pPr>
        <w:pStyle w:val="Heading2"/>
        <w:spacing w:after="0" w:line="240" w:lineRule="auto"/>
        <w:contextualSpacing/>
        <w:rPr>
          <w:color w:val="auto"/>
        </w:rPr>
      </w:pPr>
      <w:bookmarkStart w:id="176" w:name="_Toc229126503"/>
      <w:r>
        <w:rPr>
          <w:color w:val="auto"/>
          <w:lang w:val="en-US"/>
        </w:rPr>
        <w:t>Primary Needs I</w:t>
      </w:r>
      <w:r w:rsidR="00F047C1">
        <w:rPr>
          <w:color w:val="auto"/>
          <w:lang w:val="en-US"/>
        </w:rPr>
        <w:t xml:space="preserve">dentified </w:t>
      </w:r>
      <w:bookmarkEnd w:id="173"/>
      <w:bookmarkEnd w:id="174"/>
      <w:r>
        <w:rPr>
          <w:color w:val="auto"/>
          <w:lang w:val="en-US"/>
        </w:rPr>
        <w:t>By The L</w:t>
      </w:r>
      <w:r w:rsidR="00CD2059">
        <w:rPr>
          <w:color w:val="auto"/>
          <w:lang w:val="en-US"/>
        </w:rPr>
        <w:t>in</w:t>
      </w:r>
      <w:r>
        <w:rPr>
          <w:color w:val="auto"/>
          <w:lang w:val="en-US"/>
        </w:rPr>
        <w:t>n County C</w:t>
      </w:r>
      <w:r w:rsidR="00F047C1">
        <w:rPr>
          <w:color w:val="auto"/>
          <w:lang w:val="en-US"/>
        </w:rPr>
        <w:t>ommunity</w:t>
      </w:r>
      <w:bookmarkEnd w:id="176"/>
      <w:r w:rsidR="00BF5653" w:rsidRPr="00074652">
        <w:rPr>
          <w:color w:val="auto"/>
        </w:rPr>
        <w:t xml:space="preserve"> </w:t>
      </w:r>
    </w:p>
    <w:p w:rsidR="00BF5653" w:rsidRPr="00F047C1" w:rsidRDefault="00D2730B" w:rsidP="00BF5653">
      <w:pPr>
        <w:pStyle w:val="Heading3"/>
        <w:rPr>
          <w:color w:val="auto"/>
          <w:lang w:val="en-US"/>
        </w:rPr>
      </w:pPr>
      <w:bookmarkStart w:id="177" w:name="_Toc229126504"/>
      <w:r>
        <w:rPr>
          <w:color w:val="auto"/>
          <w:lang w:val="en-US"/>
        </w:rPr>
        <w:t>Adult O</w:t>
      </w:r>
      <w:r w:rsidR="00F047C1">
        <w:rPr>
          <w:color w:val="auto"/>
          <w:lang w:val="en-US"/>
        </w:rPr>
        <w:t>besity</w:t>
      </w:r>
      <w:bookmarkEnd w:id="177"/>
    </w:p>
    <w:p w:rsidR="00102647" w:rsidRPr="00823BBD" w:rsidRDefault="00102647" w:rsidP="00102647">
      <w:r w:rsidRPr="00823BBD">
        <w:t>Adult obesity is becoming an epidemic in the U.S. and increases the risk for countless health conditions.  Obesity is an energy imbalance due to a lack of physical activity combined with a poor diet.  Obesity can ultimately lead to the following: coronary heart disease, type II diabetes, cancer, hypertension, stroke, gall bladder disorders, respiratory problems, and osteoarthritis.</w:t>
      </w:r>
      <w:r w:rsidRPr="00823BBD">
        <w:rPr>
          <w:vertAlign w:val="superscript"/>
        </w:rPr>
        <w:t>12</w:t>
      </w:r>
      <w:r w:rsidR="009C53C0" w:rsidRPr="00823BBD">
        <w:t xml:space="preserve"> In Linn County the rate for heart disease far exceeds state, national, and Healthy People 2020 benchmarks. </w:t>
      </w:r>
    </w:p>
    <w:p w:rsidR="00BF5653" w:rsidRPr="00F047C1" w:rsidRDefault="00D2730B" w:rsidP="00BF5653">
      <w:pPr>
        <w:pStyle w:val="Heading3"/>
        <w:rPr>
          <w:i/>
          <w:color w:val="auto"/>
          <w:lang w:val="en-US"/>
        </w:rPr>
      </w:pPr>
      <w:bookmarkStart w:id="178" w:name="_Toc229126505"/>
      <w:r>
        <w:rPr>
          <w:color w:val="auto"/>
          <w:lang w:val="en-US"/>
        </w:rPr>
        <w:t>Adult S</w:t>
      </w:r>
      <w:r w:rsidR="00F047C1">
        <w:rPr>
          <w:color w:val="auto"/>
          <w:lang w:val="en-US"/>
        </w:rPr>
        <w:t>moking</w:t>
      </w:r>
      <w:bookmarkEnd w:id="178"/>
    </w:p>
    <w:p w:rsidR="00102647" w:rsidRPr="00DC6E1E" w:rsidRDefault="00102647" w:rsidP="00102647">
      <w:r w:rsidRPr="00DC6E1E">
        <w:t>Each year thousands of premature deaths occur primarily due to smoking and it is identified as a contributing factor to multiple diseases such as cancer, cardiovascular disease, and respiratory conditions to name a few.   Alerting communities to the adverse effects of tobacco use can be valuable in assessing the needs for cessation programs or the effectiveness of existing ones.</w:t>
      </w:r>
      <w:r w:rsidRPr="00DC6E1E">
        <w:rPr>
          <w:vertAlign w:val="superscript"/>
        </w:rPr>
        <w:t xml:space="preserve">11  </w:t>
      </w:r>
    </w:p>
    <w:p w:rsidR="00BF5653" w:rsidRPr="00F047C1" w:rsidRDefault="00D2730B" w:rsidP="00BF5653">
      <w:pPr>
        <w:pStyle w:val="Heading3"/>
        <w:rPr>
          <w:color w:val="auto"/>
          <w:lang w:val="en-US"/>
        </w:rPr>
      </w:pPr>
      <w:bookmarkStart w:id="179" w:name="_Toc229126506"/>
      <w:r>
        <w:rPr>
          <w:color w:val="auto"/>
          <w:lang w:val="en-US"/>
        </w:rPr>
        <w:t>A Lack Of Access To Mental H</w:t>
      </w:r>
      <w:r w:rsidR="00F047C1">
        <w:rPr>
          <w:color w:val="auto"/>
          <w:lang w:val="en-US"/>
        </w:rPr>
        <w:t xml:space="preserve">ealth </w:t>
      </w:r>
      <w:r>
        <w:rPr>
          <w:color w:val="auto"/>
          <w:lang w:val="en-US"/>
        </w:rPr>
        <w:t>Providers A</w:t>
      </w:r>
      <w:r w:rsidR="004404CF">
        <w:rPr>
          <w:color w:val="auto"/>
          <w:lang w:val="en-US"/>
        </w:rPr>
        <w:t xml:space="preserve">nd </w:t>
      </w:r>
      <w:r>
        <w:rPr>
          <w:color w:val="auto"/>
          <w:lang w:val="en-US"/>
        </w:rPr>
        <w:t>S</w:t>
      </w:r>
      <w:r w:rsidR="00F047C1">
        <w:rPr>
          <w:color w:val="auto"/>
          <w:lang w:val="en-US"/>
        </w:rPr>
        <w:t>ervices</w:t>
      </w:r>
      <w:bookmarkEnd w:id="179"/>
    </w:p>
    <w:p w:rsidR="009E2D69" w:rsidRDefault="004404CF" w:rsidP="004404CF">
      <w:r w:rsidRPr="00DC6E1E">
        <w:t>As seen in Figure 2.3, Li</w:t>
      </w:r>
      <w:r w:rsidR="009C53C0" w:rsidRPr="00DC6E1E">
        <w:t>nn</w:t>
      </w:r>
      <w:r w:rsidRPr="00DC6E1E">
        <w:t xml:space="preserve"> County continues to be above the Missouri benchmark and well above the </w:t>
      </w:r>
      <w:r w:rsidR="00114006" w:rsidRPr="00DC6E1E">
        <w:t>National Benchmark</w:t>
      </w:r>
      <w:r w:rsidRPr="00DC6E1E">
        <w:t xml:space="preserve"> in regard to the number of poor mental health days reported.  With a slight increase from 2011 to 2012</w:t>
      </w:r>
      <w:r w:rsidR="00324BDB" w:rsidRPr="00DC6E1E">
        <w:t>,</w:t>
      </w:r>
      <w:r w:rsidRPr="00DC6E1E">
        <w:t xml:space="preserve"> there is a need to focus on this measure because it is still elevated above both the Missouri and U.S. benchmarks. Mental health providers include</w:t>
      </w:r>
      <w:r w:rsidR="00324BDB" w:rsidRPr="00DC6E1E">
        <w:t>;</w:t>
      </w:r>
      <w:r w:rsidRPr="00DC6E1E">
        <w:t xml:space="preserve"> psychiatrists, clinical psychologists, clinical social workers, psychiatric nurse specialists, and marriage/family therapists who meet certain qualifications and certifications.  According to Figure 2.4 L</w:t>
      </w:r>
      <w:r w:rsidR="00BD5BDE" w:rsidRPr="00DC6E1E">
        <w:t>inn</w:t>
      </w:r>
      <w:r w:rsidRPr="00DC6E1E">
        <w:t xml:space="preserve"> County is significantly lacking in mental health providers for their community compared to the state of Missouri. </w:t>
      </w:r>
    </w:p>
    <w:p w:rsidR="00657D88" w:rsidRPr="00DC6E1E" w:rsidRDefault="00657D88" w:rsidP="004404CF"/>
    <w:p w:rsidR="00BF5653" w:rsidRPr="00F047C1" w:rsidRDefault="00D2730B" w:rsidP="00BF5653">
      <w:pPr>
        <w:pStyle w:val="Heading3"/>
        <w:rPr>
          <w:color w:val="auto"/>
          <w:lang w:val="en-US"/>
        </w:rPr>
      </w:pPr>
      <w:bookmarkStart w:id="180" w:name="_Toc229126507"/>
      <w:r>
        <w:rPr>
          <w:color w:val="auto"/>
          <w:lang w:val="en-US"/>
        </w:rPr>
        <w:lastRenderedPageBreak/>
        <w:t>Children In P</w:t>
      </w:r>
      <w:r w:rsidR="00F047C1">
        <w:rPr>
          <w:color w:val="auto"/>
          <w:lang w:val="en-US"/>
        </w:rPr>
        <w:t>overty</w:t>
      </w:r>
      <w:bookmarkEnd w:id="180"/>
    </w:p>
    <w:p w:rsidR="00BF5653" w:rsidRPr="00DC6E1E" w:rsidRDefault="00495D04" w:rsidP="00BF5653">
      <w:pPr>
        <w:spacing w:line="240" w:lineRule="auto"/>
      </w:pPr>
      <w:r w:rsidRPr="00DC6E1E">
        <w:t>The health of the youth population is vital to the future health of the overall population. Studies have shown that there exists a strong correlation between childhood obesity and adult obesity. There are also key indications that obesity is more prevalent among the low</w:t>
      </w:r>
      <w:r w:rsidR="000C681F" w:rsidRPr="00DC6E1E">
        <w:t>er socioeconomic population. Li</w:t>
      </w:r>
      <w:r w:rsidR="00BD5BDE" w:rsidRPr="00DC6E1E">
        <w:t>nn</w:t>
      </w:r>
      <w:r w:rsidR="000C681F" w:rsidRPr="00DC6E1E">
        <w:t xml:space="preserve"> County has a higher percentage of families living at or below the federal poverty level as indicated in Figures 2.16 and 4.3. In order to secure the future health of the county</w:t>
      </w:r>
      <w:r w:rsidR="00324BDB" w:rsidRPr="00DC6E1E">
        <w:t>,</w:t>
      </w:r>
      <w:r w:rsidR="000C681F" w:rsidRPr="00DC6E1E">
        <w:t xml:space="preserve"> initiative must be taken to counteract the high amount of children in poverty. </w:t>
      </w:r>
    </w:p>
    <w:p w:rsidR="00BF5653" w:rsidRPr="00074652" w:rsidRDefault="00D2730B" w:rsidP="00BF5653">
      <w:pPr>
        <w:pStyle w:val="Heading3"/>
        <w:rPr>
          <w:color w:val="auto"/>
        </w:rPr>
      </w:pPr>
      <w:bookmarkStart w:id="181" w:name="_Toc292981242"/>
      <w:bookmarkStart w:id="182" w:name="_Toc318638321"/>
      <w:bookmarkStart w:id="183" w:name="_Toc229126508"/>
      <w:r>
        <w:rPr>
          <w:color w:val="auto"/>
        </w:rPr>
        <w:t>A Lack Of Primary Care Access And P</w:t>
      </w:r>
      <w:r w:rsidR="00BF5653" w:rsidRPr="00074652">
        <w:rPr>
          <w:color w:val="auto"/>
        </w:rPr>
        <w:t>hysicians</w:t>
      </w:r>
      <w:bookmarkEnd w:id="181"/>
      <w:bookmarkEnd w:id="182"/>
      <w:bookmarkEnd w:id="183"/>
    </w:p>
    <w:p w:rsidR="00BF5653" w:rsidRPr="00DC6E1E" w:rsidRDefault="00BF5653" w:rsidP="00BF5653">
      <w:r w:rsidRPr="00DC6E1E">
        <w:t>L</w:t>
      </w:r>
      <w:r w:rsidR="00BD5BDE" w:rsidRPr="00DC6E1E">
        <w:t>in</w:t>
      </w:r>
      <w:r w:rsidR="004404CF" w:rsidRPr="00DC6E1E">
        <w:t xml:space="preserve">n </w:t>
      </w:r>
      <w:r w:rsidRPr="00DC6E1E">
        <w:t xml:space="preserve">County </w:t>
      </w:r>
      <w:r w:rsidR="00BD5BDE" w:rsidRPr="00DC6E1E">
        <w:t xml:space="preserve">like many other rural counties </w:t>
      </w:r>
      <w:r w:rsidRPr="00DC6E1E">
        <w:t xml:space="preserve">is facing a shortage in primary care services.  Primary care shortages are usually seen in </w:t>
      </w:r>
      <w:r w:rsidR="004404CF" w:rsidRPr="00DC6E1E">
        <w:t>Missouri’s</w:t>
      </w:r>
      <w:r w:rsidRPr="00DC6E1E">
        <w:t xml:space="preserve"> less populated counties where doctors, dentists</w:t>
      </w:r>
      <w:r w:rsidR="00324BDB" w:rsidRPr="00DC6E1E">
        <w:t>,</w:t>
      </w:r>
      <w:r w:rsidRPr="00DC6E1E">
        <w:t xml:space="preserve"> and other providers are likely to be few and far between.  Since primary care providers often act as the first point of consultation for patients, primary care often plays a central role in the local community.  Without any other resources, patients within the community often seek services from the hospital as a main source of primary care.</w:t>
      </w:r>
    </w:p>
    <w:p w:rsidR="00EA2B6D" w:rsidRPr="00846218" w:rsidRDefault="00BF5653" w:rsidP="00846218">
      <w:pPr>
        <w:pStyle w:val="Heading2"/>
        <w:spacing w:after="0" w:line="240" w:lineRule="auto"/>
        <w:contextualSpacing/>
        <w:rPr>
          <w:color w:val="auto"/>
          <w:lang w:val="en-US"/>
        </w:rPr>
      </w:pPr>
      <w:r>
        <w:br w:type="page"/>
      </w:r>
      <w:bookmarkStart w:id="184" w:name="_Toc229126509"/>
      <w:r w:rsidR="00D2730B">
        <w:rPr>
          <w:color w:val="auto"/>
          <w:lang w:val="en-US"/>
        </w:rPr>
        <w:lastRenderedPageBreak/>
        <w:t>Addressing C</w:t>
      </w:r>
      <w:r w:rsidR="00846218">
        <w:rPr>
          <w:color w:val="auto"/>
          <w:lang w:val="en-US"/>
        </w:rPr>
        <w:t>ommunity</w:t>
      </w:r>
      <w:r w:rsidR="00D2730B">
        <w:rPr>
          <w:color w:val="auto"/>
          <w:lang w:val="en-US"/>
        </w:rPr>
        <w:t xml:space="preserve"> Needs And Implementation P</w:t>
      </w:r>
      <w:r w:rsidR="00846218">
        <w:rPr>
          <w:color w:val="auto"/>
          <w:lang w:val="en-US"/>
        </w:rPr>
        <w:t>lan</w:t>
      </w:r>
      <w:bookmarkEnd w:id="184"/>
      <w:r w:rsidR="00846218" w:rsidRPr="00074652">
        <w:rPr>
          <w:color w:val="auto"/>
        </w:rPr>
        <w:t xml:space="preserve"> </w:t>
      </w:r>
    </w:p>
    <w:p w:rsidR="00EA2B6D" w:rsidRPr="00A639BE" w:rsidRDefault="005427F8" w:rsidP="00EA2B6D">
      <w:pPr>
        <w:spacing w:after="0"/>
      </w:pPr>
      <w:r w:rsidRPr="00A639BE">
        <w:t>Pershing Health System</w:t>
      </w:r>
      <w:r w:rsidR="00DA3D58" w:rsidRPr="00A639BE">
        <w:t xml:space="preserve"> is either addressing or in the process of address</w:t>
      </w:r>
      <w:r w:rsidR="00117622" w:rsidRPr="00A639BE">
        <w:t>ing every community health need</w:t>
      </w:r>
      <w:r w:rsidR="00DA3D58" w:rsidRPr="00A639BE">
        <w:t xml:space="preserve"> listed above. The following plan </w:t>
      </w:r>
      <w:r w:rsidR="005F3983" w:rsidRPr="00A639BE">
        <w:t xml:space="preserve">includes initiatives that </w:t>
      </w:r>
      <w:r w:rsidRPr="00A639BE">
        <w:t>Pershing Memorial Hospital</w:t>
      </w:r>
      <w:r w:rsidR="005F3983" w:rsidRPr="00A639BE">
        <w:t xml:space="preserve"> is engaged in to </w:t>
      </w:r>
      <w:r w:rsidR="00DA3D58" w:rsidRPr="00A639BE">
        <w:t xml:space="preserve">address the most urgent needs of </w:t>
      </w:r>
      <w:r w:rsidRPr="00A639BE">
        <w:t>the Lin</w:t>
      </w:r>
      <w:r w:rsidR="005F3983" w:rsidRPr="00A639BE">
        <w:t>n County Community:</w:t>
      </w:r>
    </w:p>
    <w:p w:rsidR="00DA3D58" w:rsidRPr="00F047C1" w:rsidRDefault="00D2730B" w:rsidP="00DA3D58">
      <w:pPr>
        <w:pStyle w:val="Heading3"/>
        <w:rPr>
          <w:color w:val="auto"/>
          <w:lang w:val="en-US"/>
        </w:rPr>
      </w:pPr>
      <w:bookmarkStart w:id="185" w:name="_Toc229126510"/>
      <w:r>
        <w:rPr>
          <w:color w:val="auto"/>
          <w:lang w:val="en-US"/>
        </w:rPr>
        <w:t>A</w:t>
      </w:r>
      <w:r w:rsidR="005F3983">
        <w:rPr>
          <w:color w:val="auto"/>
          <w:lang w:val="en-US"/>
        </w:rPr>
        <w:t xml:space="preserve">ddressing </w:t>
      </w:r>
      <w:r>
        <w:rPr>
          <w:color w:val="auto"/>
          <w:lang w:val="en-US"/>
        </w:rPr>
        <w:t>Adult O</w:t>
      </w:r>
      <w:r w:rsidR="00DA3D58">
        <w:rPr>
          <w:color w:val="auto"/>
          <w:lang w:val="en-US"/>
        </w:rPr>
        <w:t>besity</w:t>
      </w:r>
      <w:bookmarkEnd w:id="185"/>
    </w:p>
    <w:p w:rsidR="00DA3D58" w:rsidRPr="00A639BE" w:rsidRDefault="005427F8" w:rsidP="00EA2B6D">
      <w:pPr>
        <w:spacing w:after="0"/>
      </w:pPr>
      <w:r w:rsidRPr="00A639BE">
        <w:t>Pershing Memorial Hospital employs a registered dietician that provides nutritional services currently to the patient population. A plan h</w:t>
      </w:r>
      <w:r w:rsidR="000C6608" w:rsidRPr="00A639BE">
        <w:t>as been set forth to include</w:t>
      </w:r>
      <w:r w:rsidRPr="00A639BE">
        <w:t xml:space="preserve"> general public use and access to these programs and will be facilitated by Barb Littrell</w:t>
      </w:r>
      <w:r w:rsidR="000C6608" w:rsidRPr="00A639BE">
        <w:t xml:space="preserve">. The program will include </w:t>
      </w:r>
      <w:r w:rsidR="006E713F" w:rsidRPr="00A639BE">
        <w:t>proper nutritional and dietary habits for healthy adults</w:t>
      </w:r>
      <w:r w:rsidR="001A3C39" w:rsidRPr="00A639BE">
        <w:t>,</w:t>
      </w:r>
      <w:r w:rsidR="006E713F" w:rsidRPr="00A639BE">
        <w:t xml:space="preserve"> as well as information for individuals that are diabetic or pre-diabetic. A partnership opportunity with the local school system will also be explored to determine the feasibility and impact of dietary programs in conjunction with existing school lunch policies. </w:t>
      </w:r>
    </w:p>
    <w:p w:rsidR="00DA3D58" w:rsidRPr="00F047C1" w:rsidRDefault="00D2730B" w:rsidP="00DA3D58">
      <w:pPr>
        <w:pStyle w:val="Heading3"/>
        <w:rPr>
          <w:i/>
          <w:color w:val="auto"/>
          <w:lang w:val="en-US"/>
        </w:rPr>
      </w:pPr>
      <w:bookmarkStart w:id="186" w:name="_Toc229126511"/>
      <w:r>
        <w:rPr>
          <w:color w:val="auto"/>
          <w:lang w:val="en-US"/>
        </w:rPr>
        <w:t>A</w:t>
      </w:r>
      <w:r w:rsidR="005F3983">
        <w:rPr>
          <w:color w:val="auto"/>
          <w:lang w:val="en-US"/>
        </w:rPr>
        <w:t xml:space="preserve">ddressing </w:t>
      </w:r>
      <w:r>
        <w:rPr>
          <w:color w:val="auto"/>
          <w:lang w:val="en-US"/>
        </w:rPr>
        <w:t>Adult S</w:t>
      </w:r>
      <w:r w:rsidR="00DA3D58">
        <w:rPr>
          <w:color w:val="auto"/>
          <w:lang w:val="en-US"/>
        </w:rPr>
        <w:t>moking</w:t>
      </w:r>
      <w:bookmarkEnd w:id="186"/>
    </w:p>
    <w:p w:rsidR="00DA3D58" w:rsidRPr="00A639BE" w:rsidRDefault="006E713F" w:rsidP="00EA2B6D">
      <w:pPr>
        <w:spacing w:after="0"/>
      </w:pPr>
      <w:r w:rsidRPr="00A639BE">
        <w:t xml:space="preserve">Smoking cessation programs </w:t>
      </w:r>
      <w:r w:rsidR="000D4767" w:rsidRPr="00A639BE">
        <w:t xml:space="preserve">approved through the American Lung Association </w:t>
      </w:r>
      <w:r w:rsidRPr="00A639BE">
        <w:t>are already developed and provided to empl</w:t>
      </w:r>
      <w:r w:rsidR="004A607B" w:rsidRPr="00A639BE">
        <w:t>oyees of Pershing Health System. T</w:t>
      </w:r>
      <w:r w:rsidRPr="00A639BE">
        <w:t>hese programs will be tailored</w:t>
      </w:r>
      <w:r w:rsidR="000D4767" w:rsidRPr="00A639BE">
        <w:t xml:space="preserve"> and expanded</w:t>
      </w:r>
      <w:r w:rsidRPr="00A639BE">
        <w:t xml:space="preserve"> to suit the needs of community residents and be made available by Stephanie Milfred. The primary means for awareness regarding these programs will be radio advertising, newspaper print, and inclusion on the updated website.  </w:t>
      </w:r>
    </w:p>
    <w:p w:rsidR="00846218" w:rsidRPr="00F047C1" w:rsidRDefault="00D2730B" w:rsidP="00846218">
      <w:pPr>
        <w:pStyle w:val="Heading3"/>
        <w:rPr>
          <w:color w:val="auto"/>
          <w:lang w:val="en-US"/>
        </w:rPr>
      </w:pPr>
      <w:bookmarkStart w:id="187" w:name="_Toc229126512"/>
      <w:r>
        <w:rPr>
          <w:color w:val="auto"/>
          <w:lang w:val="en-US"/>
        </w:rPr>
        <w:t>Increasing Access To Mental Health Providers And S</w:t>
      </w:r>
      <w:r w:rsidR="00846218">
        <w:rPr>
          <w:color w:val="auto"/>
          <w:lang w:val="en-US"/>
        </w:rPr>
        <w:t>ervices</w:t>
      </w:r>
      <w:bookmarkEnd w:id="187"/>
    </w:p>
    <w:p w:rsidR="00846218" w:rsidRPr="00A639BE" w:rsidRDefault="006E713F" w:rsidP="00846218">
      <w:pPr>
        <w:rPr>
          <w:rFonts w:cs="Calibri"/>
        </w:rPr>
      </w:pPr>
      <w:r w:rsidRPr="00A639BE">
        <w:t xml:space="preserve">The lack of mental health providers and services in rural settings including Linn County has been a detriment to community residents. One way that Pershing Health System will begin to alleviate this issue is through partnership with North Central </w:t>
      </w:r>
      <w:r w:rsidR="00E25BC2" w:rsidRPr="00A639BE">
        <w:t xml:space="preserve">Missouri Mental Health Center and revised screening procedures in the ER for patients presenting with mental health issues. Stephanie Milfred will be in charge of facilitating this partnership and developing the program for the assessment of </w:t>
      </w:r>
      <w:r w:rsidR="006352D6" w:rsidRPr="00A639BE">
        <w:t>mentally ill patients in Pershing Memorial Hospital</w:t>
      </w:r>
      <w:r w:rsidR="00E25BC2" w:rsidRPr="00A639BE">
        <w:t xml:space="preserve">. </w:t>
      </w:r>
    </w:p>
    <w:p w:rsidR="00857582" w:rsidRPr="00F047C1" w:rsidRDefault="00D2730B" w:rsidP="00857582">
      <w:pPr>
        <w:pStyle w:val="Heading3"/>
        <w:rPr>
          <w:color w:val="auto"/>
          <w:lang w:val="en-US"/>
        </w:rPr>
      </w:pPr>
      <w:bookmarkStart w:id="188" w:name="_Toc229126513"/>
      <w:r>
        <w:rPr>
          <w:color w:val="auto"/>
          <w:lang w:val="en-US"/>
        </w:rPr>
        <w:t>Helping Children In P</w:t>
      </w:r>
      <w:r w:rsidR="00857582">
        <w:rPr>
          <w:color w:val="auto"/>
          <w:lang w:val="en-US"/>
        </w:rPr>
        <w:t>overty</w:t>
      </w:r>
      <w:bookmarkEnd w:id="188"/>
    </w:p>
    <w:p w:rsidR="00DA3D58" w:rsidRPr="00A639BE" w:rsidRDefault="00686ABA" w:rsidP="00EA2B6D">
      <w:pPr>
        <w:spacing w:after="0"/>
      </w:pPr>
      <w:r w:rsidRPr="00A639BE">
        <w:t xml:space="preserve">Pershing Memorial Hospital provides residents that are eligible for financial assistance with the proper procedures and forms to begin to apply for aid. </w:t>
      </w:r>
      <w:r w:rsidR="0046464A" w:rsidRPr="00A639BE">
        <w:t>Previously the applications were only available on-site and residents would fill out the appropriate paperwork physically in the hospital. Pershing</w:t>
      </w:r>
      <w:r w:rsidR="00F862AF" w:rsidRPr="00A639BE">
        <w:t>,</w:t>
      </w:r>
      <w:r w:rsidR="0046464A" w:rsidRPr="00A639BE">
        <w:t xml:space="preserve"> as a result of this assessment</w:t>
      </w:r>
      <w:r w:rsidR="00F862AF" w:rsidRPr="00A639BE">
        <w:t>,</w:t>
      </w:r>
      <w:r w:rsidR="0046464A" w:rsidRPr="00A639BE">
        <w:t xml:space="preserve"> will begin to make those forms electronically available on the hospital website and individuals can complete them with a greater level of privacy</w:t>
      </w:r>
      <w:r w:rsidR="00F862AF" w:rsidRPr="00A639BE">
        <w:t>,</w:t>
      </w:r>
      <w:r w:rsidR="0046464A" w:rsidRPr="00A639BE">
        <w:t xml:space="preserve"> potentially alleviating some of the apprehension about applying for aid. </w:t>
      </w:r>
      <w:r w:rsidR="003E4F98" w:rsidRPr="00A639BE">
        <w:t xml:space="preserve">Lorna Woodside is the Pershing Employee responsible for developing the electronic form for the website. </w:t>
      </w:r>
      <w:r w:rsidR="00857582" w:rsidRPr="00A639BE">
        <w:t>Aside from providing medical care to i</w:t>
      </w:r>
      <w:r w:rsidR="00C31591" w:rsidRPr="00A639BE">
        <w:t>ndigent populations in Lin</w:t>
      </w:r>
      <w:r w:rsidR="00857582" w:rsidRPr="00A639BE">
        <w:t xml:space="preserve">n County, </w:t>
      </w:r>
      <w:r w:rsidR="00C31591" w:rsidRPr="00A639BE">
        <w:t>Pershing Memorial Hospital</w:t>
      </w:r>
      <w:r w:rsidR="00857582" w:rsidRPr="00A639BE">
        <w:t xml:space="preserve"> also provides community health improvement services, financial and in-kind contributions, and community benefit </w:t>
      </w:r>
      <w:r w:rsidR="00C31591" w:rsidRPr="00A639BE">
        <w:t>operations all totaling over $6,000 dollars for the year 2012. C</w:t>
      </w:r>
      <w:r w:rsidR="00857582" w:rsidRPr="00A639BE">
        <w:t>ontribution</w:t>
      </w:r>
      <w:r w:rsidR="00C31591" w:rsidRPr="00A639BE">
        <w:t>s are</w:t>
      </w:r>
      <w:r w:rsidR="00857582" w:rsidRPr="00A639BE">
        <w:t xml:space="preserve"> given to the </w:t>
      </w:r>
      <w:r w:rsidR="00C31591" w:rsidRPr="00A639BE">
        <w:t xml:space="preserve">programs such as; Baker-Slater Scholarship fund, Marceline Parks and Recreation, Northwestern R-1 School District, North Central YMCA, and the Kearney High School Soccer team. </w:t>
      </w:r>
      <w:r w:rsidR="00857582" w:rsidRPr="00A639BE">
        <w:t xml:space="preserve"> </w:t>
      </w:r>
    </w:p>
    <w:p w:rsidR="00857582" w:rsidRPr="00074652" w:rsidRDefault="00D2730B" w:rsidP="00857582">
      <w:pPr>
        <w:pStyle w:val="Heading3"/>
        <w:rPr>
          <w:color w:val="auto"/>
        </w:rPr>
      </w:pPr>
      <w:bookmarkStart w:id="189" w:name="_Toc229126514"/>
      <w:r>
        <w:rPr>
          <w:color w:val="auto"/>
        </w:rPr>
        <w:lastRenderedPageBreak/>
        <w:t>A Lack Of Primary Care Access And P</w:t>
      </w:r>
      <w:r w:rsidR="00857582" w:rsidRPr="00074652">
        <w:rPr>
          <w:color w:val="auto"/>
        </w:rPr>
        <w:t>hysicians</w:t>
      </w:r>
      <w:bookmarkEnd w:id="189"/>
    </w:p>
    <w:p w:rsidR="006352D6" w:rsidRPr="000E09B8" w:rsidRDefault="005C4EC2" w:rsidP="00EA2B6D">
      <w:pPr>
        <w:spacing w:after="0"/>
      </w:pPr>
      <w:r w:rsidRPr="000E09B8">
        <w:t xml:space="preserve">A shortage of primary care physicians is always an issue in rural America and Pershing Memorial Hospital is striving to improve the access for county residents. </w:t>
      </w:r>
      <w:r w:rsidR="002B0BFF" w:rsidRPr="000E09B8">
        <w:t>Pershing Health System is a participating organization in the Primary Care Resource Initiative for Missouri (</w:t>
      </w:r>
      <w:r w:rsidR="0093501B" w:rsidRPr="000E09B8">
        <w:t>PRIMO</w:t>
      </w:r>
      <w:r w:rsidR="002B0BFF" w:rsidRPr="000E09B8">
        <w:t xml:space="preserve">). Pershing Memorial Hospital currently supports two students in medical school through this program and will employ them upon completion of their residency. </w:t>
      </w:r>
      <w:r w:rsidRPr="000E09B8">
        <w:t>Pershing Health System is</w:t>
      </w:r>
      <w:r w:rsidR="00564A34" w:rsidRPr="000E09B8">
        <w:t xml:space="preserve"> continually recruiting family practice physicians and nurse practitioners to the area</w:t>
      </w:r>
      <w:r w:rsidRPr="000E09B8">
        <w:t xml:space="preserve"> to provide inpatient consults and primary care and will continue to do so in the foreseeable future. </w:t>
      </w:r>
    </w:p>
    <w:p w:rsidR="006352D6" w:rsidRPr="00074652" w:rsidRDefault="006352D6" w:rsidP="006352D6">
      <w:pPr>
        <w:pStyle w:val="Heading3"/>
        <w:rPr>
          <w:color w:val="auto"/>
        </w:rPr>
      </w:pPr>
      <w:bookmarkStart w:id="190" w:name="_Toc229126515"/>
      <w:r>
        <w:rPr>
          <w:color w:val="auto"/>
        </w:rPr>
        <w:t>Medication Education</w:t>
      </w:r>
      <w:bookmarkEnd w:id="190"/>
      <w:r>
        <w:rPr>
          <w:color w:val="auto"/>
        </w:rPr>
        <w:t xml:space="preserve"> </w:t>
      </w:r>
    </w:p>
    <w:p w:rsidR="006352D6" w:rsidRPr="00AA59DD" w:rsidRDefault="003E4F98" w:rsidP="00EA2B6D">
      <w:pPr>
        <w:spacing w:after="0"/>
      </w:pPr>
      <w:r w:rsidRPr="00AA59DD">
        <w:t xml:space="preserve">One concern among the external providers in the area as well as the employees of Pershing Memorial is that patients are not receiving the proper medication education. </w:t>
      </w:r>
      <w:r w:rsidR="006167D9" w:rsidRPr="00AA59DD">
        <w:t>A proposal has been written</w:t>
      </w:r>
      <w:r w:rsidR="00AB5D9F" w:rsidRPr="00AA59DD">
        <w:t xml:space="preserve"> to utilize existing resources from Boone County Hospital to develop programs that provide this education based upon the needs of the community. A growing number of patients are reliant upon medications for long-term chronic illnesses such as</w:t>
      </w:r>
      <w:r w:rsidR="006167D9" w:rsidRPr="00AA59DD">
        <w:t>;</w:t>
      </w:r>
      <w:r w:rsidR="00AB5D9F" w:rsidRPr="00AA59DD">
        <w:t xml:space="preserve"> asthm</w:t>
      </w:r>
      <w:r w:rsidR="006167D9" w:rsidRPr="00AA59DD">
        <w:t xml:space="preserve">a, diabetes, heart disease, </w:t>
      </w:r>
      <w:r w:rsidR="00AB5D9F" w:rsidRPr="00AA59DD">
        <w:t>high blood pressure</w:t>
      </w:r>
      <w:r w:rsidR="006167D9" w:rsidRPr="00AA59DD">
        <w:t>, mental maladies. With a growing number of patients taking long-term medications</w:t>
      </w:r>
      <w:r w:rsidR="00F862AF" w:rsidRPr="00AA59DD">
        <w:t>,</w:t>
      </w:r>
      <w:r w:rsidR="006167D9" w:rsidRPr="00AA59DD">
        <w:t xml:space="preserve"> education about certain types of medications are vital to insuring the health and safety of newly diagnosed patients with long-term illnesses. </w:t>
      </w:r>
      <w:r w:rsidR="008C3B5C" w:rsidRPr="00AA59DD">
        <w:t>Wendy Engbert</w:t>
      </w:r>
      <w:r w:rsidR="006167D9" w:rsidRPr="00AA59DD">
        <w:t xml:space="preserve"> will lead this program development for Pershing Health System and work as a liaison between Boone County Hospital and Pershing Memorial Hospital. </w:t>
      </w:r>
    </w:p>
    <w:p w:rsidR="00EA2B6D" w:rsidRDefault="00EA2B6D" w:rsidP="00EA2B6D">
      <w:pPr>
        <w:spacing w:after="0"/>
      </w:pPr>
    </w:p>
    <w:p w:rsidR="00EA2B6D" w:rsidRDefault="00EA2B6D" w:rsidP="00EA2B6D">
      <w:pPr>
        <w:spacing w:after="0"/>
      </w:pPr>
    </w:p>
    <w:p w:rsidR="00EA2B6D" w:rsidRDefault="00EA2B6D"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913DC9" w:rsidRDefault="00913DC9" w:rsidP="00EA2B6D">
      <w:pPr>
        <w:spacing w:after="0"/>
      </w:pPr>
    </w:p>
    <w:p w:rsidR="00EA2B6D" w:rsidRDefault="00EA2B6D" w:rsidP="00EA2B6D">
      <w:pPr>
        <w:spacing w:after="0"/>
      </w:pPr>
    </w:p>
    <w:p w:rsidR="00BF5653" w:rsidRPr="00374BDE" w:rsidRDefault="00374BDE" w:rsidP="00374BDE">
      <w:pPr>
        <w:pStyle w:val="Heading1"/>
        <w:rPr>
          <w:color w:val="auto"/>
          <w:lang w:val="en-US"/>
        </w:rPr>
      </w:pPr>
      <w:bookmarkStart w:id="191" w:name="_Toc229126516"/>
      <w:r>
        <w:rPr>
          <w:color w:val="auto"/>
          <w:lang w:val="en-US"/>
        </w:rPr>
        <w:lastRenderedPageBreak/>
        <w:t>V</w:t>
      </w:r>
      <w:r w:rsidR="009E2D69">
        <w:rPr>
          <w:color w:val="auto"/>
          <w:lang w:val="en-US"/>
        </w:rPr>
        <w:t>I</w:t>
      </w:r>
      <w:r>
        <w:rPr>
          <w:color w:val="auto"/>
          <w:lang w:val="en-US"/>
        </w:rPr>
        <w:t>. Conclusion</w:t>
      </w:r>
      <w:bookmarkEnd w:id="191"/>
    </w:p>
    <w:p w:rsidR="00BF5653" w:rsidRPr="00C668C2" w:rsidRDefault="00BF5653" w:rsidP="00BF5653">
      <w:pPr>
        <w:spacing w:after="0" w:line="21" w:lineRule="atLeast"/>
      </w:pPr>
      <w:r w:rsidRPr="00C668C2">
        <w:t>Overall, this assessment suggests that the health services within L</w:t>
      </w:r>
      <w:r w:rsidR="001F7D3D" w:rsidRPr="00C668C2">
        <w:t>in</w:t>
      </w:r>
      <w:r w:rsidR="005D1073" w:rsidRPr="00C668C2">
        <w:t>n</w:t>
      </w:r>
      <w:r w:rsidRPr="00C668C2">
        <w:t xml:space="preserve"> County are sufficient to serve the residents in the county.  However, our findings indicated several vulnerabilities in healthcare services provided to the community and unfavorable trends in healthcare factors.  </w:t>
      </w:r>
    </w:p>
    <w:p w:rsidR="00BF5653" w:rsidRPr="00C668C2" w:rsidRDefault="00BF5653" w:rsidP="00BF5653">
      <w:pPr>
        <w:spacing w:after="0" w:line="21" w:lineRule="atLeast"/>
      </w:pPr>
    </w:p>
    <w:p w:rsidR="00BF5653" w:rsidRPr="00C668C2" w:rsidRDefault="00BF5653" w:rsidP="00BF5653">
      <w:pPr>
        <w:spacing w:after="0" w:line="21" w:lineRule="atLeast"/>
      </w:pPr>
      <w:r w:rsidRPr="00C668C2">
        <w:t>The social demographics of L</w:t>
      </w:r>
      <w:r w:rsidR="001F7D3D" w:rsidRPr="00C668C2">
        <w:t>in</w:t>
      </w:r>
      <w:r w:rsidR="005D1073" w:rsidRPr="00C668C2">
        <w:t>n</w:t>
      </w:r>
      <w:r w:rsidRPr="00C668C2">
        <w:t xml:space="preserve"> County are a precursor to several future healthcare needs of the community.  Any cultural barriers to providing healthcare for non-English speaking residents will need to be addressed.  The Hispanic population in L</w:t>
      </w:r>
      <w:r w:rsidR="001F7D3D" w:rsidRPr="00C668C2">
        <w:t>in</w:t>
      </w:r>
      <w:r w:rsidR="005D1073" w:rsidRPr="00C668C2">
        <w:t xml:space="preserve">n </w:t>
      </w:r>
      <w:r w:rsidRPr="00C668C2">
        <w:t xml:space="preserve">County is expected to increase and will further stress any cultural barriers that presently exist.  Thus, </w:t>
      </w:r>
      <w:r w:rsidR="001F7D3D" w:rsidRPr="00C668C2">
        <w:t>Pershing Memorial Hospital</w:t>
      </w:r>
      <w:r w:rsidRPr="00C668C2">
        <w:t xml:space="preserve"> should encourage the employment of Spanish speaking staff in their hospital inpatient, outpatient, and billing offices in order to support the expected increase in the Hispanic population within the community.   </w:t>
      </w:r>
      <w:r w:rsidR="005D1073" w:rsidRPr="00C668C2">
        <w:t xml:space="preserve">The </w:t>
      </w:r>
      <w:r w:rsidR="001F7D3D" w:rsidRPr="00C668C2">
        <w:t>Pershing Health</w:t>
      </w:r>
      <w:r w:rsidR="005D1073" w:rsidRPr="00C668C2">
        <w:t xml:space="preserve"> System as well as </w:t>
      </w:r>
      <w:r w:rsidR="001F7D3D" w:rsidRPr="00C668C2">
        <w:t>Pershing Memorial Hospital</w:t>
      </w:r>
      <w:r w:rsidR="005D1073" w:rsidRPr="00C668C2">
        <w:t xml:space="preserve"> already has policies and procedures in place to facilitate non-English speaking patients and</w:t>
      </w:r>
      <w:r w:rsidR="004231B3" w:rsidRPr="00C668C2">
        <w:t xml:space="preserve"> patient families</w:t>
      </w:r>
      <w:r w:rsidR="005D1073" w:rsidRPr="00C668C2">
        <w:t xml:space="preserve">, but expansion into bilingual staff may be something to consider for the future. </w:t>
      </w:r>
    </w:p>
    <w:p w:rsidR="00BF5653" w:rsidRPr="00C668C2" w:rsidRDefault="00BF5653" w:rsidP="00BF5653">
      <w:pPr>
        <w:spacing w:after="0" w:line="21" w:lineRule="atLeast"/>
      </w:pPr>
    </w:p>
    <w:p w:rsidR="00BF5653" w:rsidRPr="00C668C2" w:rsidRDefault="00BF5653" w:rsidP="00BF5653">
      <w:pPr>
        <w:spacing w:after="0" w:line="21" w:lineRule="atLeast"/>
      </w:pPr>
      <w:r w:rsidRPr="00C668C2">
        <w:t>Also indicated by social determinants of L</w:t>
      </w:r>
      <w:r w:rsidR="001F7D3D" w:rsidRPr="00C668C2">
        <w:t>in</w:t>
      </w:r>
      <w:r w:rsidR="005D1073" w:rsidRPr="00C668C2">
        <w:t xml:space="preserve">n </w:t>
      </w:r>
      <w:r w:rsidRPr="00C668C2">
        <w:t xml:space="preserve">County is a </w:t>
      </w:r>
      <w:r w:rsidR="005D1073" w:rsidRPr="00C668C2">
        <w:t xml:space="preserve">positive outlook on unemployment </w:t>
      </w:r>
      <w:r w:rsidR="001F7D3D" w:rsidRPr="00C668C2">
        <w:t>rates, which is vital to the community health status</w:t>
      </w:r>
      <w:r w:rsidR="005D1073" w:rsidRPr="00C668C2">
        <w:t>.</w:t>
      </w:r>
      <w:r w:rsidRPr="00C668C2">
        <w:t xml:space="preserve">  While unemployment rates for L</w:t>
      </w:r>
      <w:r w:rsidR="001F7D3D" w:rsidRPr="00C668C2">
        <w:t>in</w:t>
      </w:r>
      <w:r w:rsidR="005D1073" w:rsidRPr="00C668C2">
        <w:t>n</w:t>
      </w:r>
      <w:r w:rsidRPr="00C668C2">
        <w:t xml:space="preserve"> Co</w:t>
      </w:r>
      <w:r w:rsidR="001F7D3D" w:rsidRPr="00C668C2">
        <w:t>unty remain slightly higher</w:t>
      </w:r>
      <w:r w:rsidR="005D1073" w:rsidRPr="00C668C2">
        <w:t xml:space="preserve"> than national averages, </w:t>
      </w:r>
      <w:r w:rsidR="001F7D3D" w:rsidRPr="00C668C2">
        <w:t>the trend continues downward</w:t>
      </w:r>
      <w:r w:rsidRPr="00C668C2">
        <w:t xml:space="preserve">.  Unemployment is a large factor contributing to individuals lacking the financial capability to access healthcare.  Increasing rates of unemployment will raise the need for community health centers and additional safety-net clinics in the county.  </w:t>
      </w:r>
    </w:p>
    <w:p w:rsidR="00BF5653" w:rsidRPr="00C668C2" w:rsidRDefault="00BF5653" w:rsidP="00BF5653">
      <w:pPr>
        <w:spacing w:after="0" w:line="21" w:lineRule="atLeast"/>
      </w:pPr>
    </w:p>
    <w:p w:rsidR="00BF5653" w:rsidRPr="00C668C2" w:rsidRDefault="00BF5653" w:rsidP="00BF5653">
      <w:pPr>
        <w:spacing w:after="0" w:line="21" w:lineRule="atLeast"/>
      </w:pPr>
      <w:r w:rsidRPr="00C668C2">
        <w:t>In terms of economic status, L</w:t>
      </w:r>
      <w:r w:rsidR="001F7D3D" w:rsidRPr="00C668C2">
        <w:t>in</w:t>
      </w:r>
      <w:r w:rsidR="003408B0" w:rsidRPr="00C668C2">
        <w:t>n</w:t>
      </w:r>
      <w:r w:rsidR="001F7D3D" w:rsidRPr="00C668C2">
        <w:t xml:space="preserve"> County is worse off</w:t>
      </w:r>
      <w:r w:rsidRPr="00C668C2">
        <w:t xml:space="preserve"> in relation to the rest of </w:t>
      </w:r>
      <w:r w:rsidR="00A71294" w:rsidRPr="00C668C2">
        <w:t>Missouri</w:t>
      </w:r>
      <w:r w:rsidRPr="00C668C2">
        <w:t xml:space="preserve"> and the United States</w:t>
      </w:r>
      <w:r w:rsidR="00A71294" w:rsidRPr="00C668C2">
        <w:t xml:space="preserve"> </w:t>
      </w:r>
      <w:r w:rsidR="001F7D3D" w:rsidRPr="00C668C2">
        <w:t>and has</w:t>
      </w:r>
      <w:r w:rsidR="00A71294" w:rsidRPr="00C668C2">
        <w:t xml:space="preserve"> a higher percentage of families below the poverty level</w:t>
      </w:r>
      <w:r w:rsidRPr="00C668C2">
        <w:t>.  Analyzing the various classes of workers gives an idea as to the availability of health insurance to the labor force.  L</w:t>
      </w:r>
      <w:r w:rsidR="00491D59" w:rsidRPr="00C668C2">
        <w:t>in</w:t>
      </w:r>
      <w:r w:rsidR="003408B0" w:rsidRPr="00C668C2">
        <w:t>n</w:t>
      </w:r>
      <w:r w:rsidRPr="00C668C2">
        <w:t xml:space="preserve"> County boasts a large</w:t>
      </w:r>
      <w:r w:rsidR="003408B0" w:rsidRPr="00C668C2">
        <w:t>r</w:t>
      </w:r>
      <w:r w:rsidRPr="00C668C2">
        <w:t xml:space="preserve"> </w:t>
      </w:r>
      <w:r w:rsidR="003408B0" w:rsidRPr="00C668C2">
        <w:t xml:space="preserve">percentage </w:t>
      </w:r>
      <w:r w:rsidRPr="00C668C2">
        <w:t xml:space="preserve">of </w:t>
      </w:r>
      <w:r w:rsidR="00E30956" w:rsidRPr="00C668C2">
        <w:t>self-employed workers</w:t>
      </w:r>
      <w:r w:rsidRPr="00C668C2">
        <w:t xml:space="preserve"> </w:t>
      </w:r>
      <w:r w:rsidR="003408B0" w:rsidRPr="00C668C2">
        <w:t>than both Missouri and the United States</w:t>
      </w:r>
      <w:r w:rsidRPr="00C668C2">
        <w:t xml:space="preserve">.  Having a high number of </w:t>
      </w:r>
      <w:r w:rsidR="00E30956" w:rsidRPr="00C668C2">
        <w:t>self-employed workers could mean</w:t>
      </w:r>
      <w:r w:rsidRPr="00C668C2">
        <w:t xml:space="preserve"> that portion of the population </w:t>
      </w:r>
      <w:r w:rsidR="00E30956" w:rsidRPr="00C668C2">
        <w:t>has to provide their own</w:t>
      </w:r>
      <w:r w:rsidRPr="00C668C2">
        <w:t xml:space="preserve"> health insurance </w:t>
      </w:r>
      <w:r w:rsidR="00E30956" w:rsidRPr="00C668C2">
        <w:t xml:space="preserve">and the increasingly high premiums and deductibles could be a deterrent. </w:t>
      </w:r>
    </w:p>
    <w:p w:rsidR="00BF5653" w:rsidRPr="00C668C2" w:rsidRDefault="00BF5653" w:rsidP="00BF5653">
      <w:pPr>
        <w:spacing w:after="0" w:line="21" w:lineRule="atLeast"/>
      </w:pPr>
      <w:r w:rsidRPr="00C668C2">
        <w:tab/>
      </w:r>
    </w:p>
    <w:p w:rsidR="00BF5653" w:rsidRPr="00C668C2" w:rsidRDefault="00BF5653" w:rsidP="00BF5653">
      <w:pPr>
        <w:spacing w:after="0" w:line="21" w:lineRule="atLeast"/>
      </w:pPr>
      <w:r w:rsidRPr="00C668C2">
        <w:t>L</w:t>
      </w:r>
      <w:r w:rsidR="00E30956" w:rsidRPr="00C668C2">
        <w:t>inn County ranks 42</w:t>
      </w:r>
      <w:r w:rsidR="00E30956" w:rsidRPr="00C668C2">
        <w:rPr>
          <w:vertAlign w:val="superscript"/>
        </w:rPr>
        <w:t>nd</w:t>
      </w:r>
      <w:r w:rsidRPr="00C668C2">
        <w:t xml:space="preserve"> in health outcomes according to </w:t>
      </w:r>
      <w:r w:rsidR="00D57450" w:rsidRPr="00C668C2">
        <w:rPr>
          <w:i/>
        </w:rPr>
        <w:t>County Health Rankings</w:t>
      </w:r>
      <w:r w:rsidRPr="00C668C2">
        <w:rPr>
          <w:i/>
        </w:rPr>
        <w:t xml:space="preserve"> </w:t>
      </w:r>
      <w:r w:rsidR="00E30956" w:rsidRPr="00C668C2">
        <w:t>and 102</w:t>
      </w:r>
      <w:r w:rsidR="00E30956" w:rsidRPr="00C668C2">
        <w:rPr>
          <w:vertAlign w:val="superscript"/>
        </w:rPr>
        <w:t>nd</w:t>
      </w:r>
      <w:r w:rsidRPr="00C668C2">
        <w:t xml:space="preserve"> in </w:t>
      </w:r>
      <w:r w:rsidR="00D57450" w:rsidRPr="00C668C2">
        <w:t xml:space="preserve">health factors for the </w:t>
      </w:r>
      <w:r w:rsidRPr="00C668C2">
        <w:t>state</w:t>
      </w:r>
      <w:r w:rsidR="00D57450" w:rsidRPr="00C668C2">
        <w:t xml:space="preserve"> of Missouri</w:t>
      </w:r>
      <w:r w:rsidRPr="00C668C2">
        <w:t xml:space="preserve">.  Negative trends in adult </w:t>
      </w:r>
      <w:r w:rsidR="00BE3801" w:rsidRPr="00C668C2">
        <w:t>obesity, smoking, and physical inactivity</w:t>
      </w:r>
      <w:r w:rsidRPr="00C668C2">
        <w:t xml:space="preserve"> are all higher than </w:t>
      </w:r>
      <w:r w:rsidR="00E30956" w:rsidRPr="00C668C2">
        <w:t>Missouri and N</w:t>
      </w:r>
      <w:r w:rsidRPr="00C668C2">
        <w:t xml:space="preserve">ational averages and contribute to an increasing premature death rate for the county.  Also contributing to the premature death rate are higher rates of adult </w:t>
      </w:r>
      <w:r w:rsidR="00BE3801" w:rsidRPr="00C668C2">
        <w:t>diabetes</w:t>
      </w:r>
      <w:r w:rsidRPr="00C668C2">
        <w:t xml:space="preserve">, </w:t>
      </w:r>
      <w:r w:rsidR="00BE3801" w:rsidRPr="00C668C2">
        <w:t>motor vehicle crashes</w:t>
      </w:r>
      <w:r w:rsidRPr="00C668C2">
        <w:t>, and s</w:t>
      </w:r>
      <w:r w:rsidR="00BE3801" w:rsidRPr="00C668C2">
        <w:t>exually transmitted diseases.  C</w:t>
      </w:r>
      <w:r w:rsidRPr="00C668C2">
        <w:t xml:space="preserve">ommunity-based prevention programs that address excessive smoking and </w:t>
      </w:r>
      <w:r w:rsidR="00BE3801" w:rsidRPr="00C668C2">
        <w:t>obesity</w:t>
      </w:r>
      <w:r w:rsidRPr="00C668C2">
        <w:t xml:space="preserve"> in the community are warranted.</w:t>
      </w:r>
    </w:p>
    <w:p w:rsidR="00BF5653" w:rsidRPr="00C668C2" w:rsidRDefault="00BF5653" w:rsidP="00BF5653">
      <w:pPr>
        <w:spacing w:after="0" w:line="21" w:lineRule="atLeast"/>
      </w:pPr>
    </w:p>
    <w:p w:rsidR="00BF5653" w:rsidRPr="00C668C2" w:rsidRDefault="00BF5653" w:rsidP="00BF5653">
      <w:pPr>
        <w:spacing w:after="0" w:line="21" w:lineRule="atLeast"/>
      </w:pPr>
      <w:r w:rsidRPr="00C668C2">
        <w:t>The health of youth</w:t>
      </w:r>
      <w:r w:rsidR="00203855" w:rsidRPr="00C668C2">
        <w:t xml:space="preserve"> in Li</w:t>
      </w:r>
      <w:r w:rsidR="00E30956" w:rsidRPr="00C668C2">
        <w:t>n</w:t>
      </w:r>
      <w:r w:rsidR="00203855" w:rsidRPr="00C668C2">
        <w:t>n</w:t>
      </w:r>
      <w:r w:rsidRPr="00C668C2">
        <w:t xml:space="preserve"> County will have a significant impact on healthcare measurements in the future.  Measurements including lo</w:t>
      </w:r>
      <w:r w:rsidR="00E30956" w:rsidRPr="00C668C2">
        <w:t>w birth weight, child abuse</w:t>
      </w:r>
      <w:r w:rsidR="00F862AF" w:rsidRPr="00C668C2">
        <w:t>,</w:t>
      </w:r>
      <w:r w:rsidR="00E30956" w:rsidRPr="00C668C2">
        <w:t xml:space="preserve"> and neglect</w:t>
      </w:r>
      <w:r w:rsidRPr="00C668C2">
        <w:t xml:space="preserve"> </w:t>
      </w:r>
      <w:r w:rsidR="00203855" w:rsidRPr="00C668C2">
        <w:t>are improving</w:t>
      </w:r>
      <w:r w:rsidR="00E30956" w:rsidRPr="00C668C2">
        <w:t xml:space="preserve"> but</w:t>
      </w:r>
      <w:r w:rsidR="00203855" w:rsidRPr="00C668C2">
        <w:t xml:space="preserve"> there is still a great deal of work to be done</w:t>
      </w:r>
      <w:r w:rsidRPr="00C668C2">
        <w:t xml:space="preserve">.   Since obese children are at a high risk of becoming obese adults, </w:t>
      </w:r>
      <w:r w:rsidR="00E30956" w:rsidRPr="00C668C2">
        <w:t>Pershing Memorial Hospital</w:t>
      </w:r>
      <w:r w:rsidRPr="00C668C2">
        <w:t xml:space="preserve"> should </w:t>
      </w:r>
      <w:r w:rsidR="00203855" w:rsidRPr="00C668C2">
        <w:t>continue to pursue physician specialties that would increase the amount of help offered in the county. H</w:t>
      </w:r>
      <w:r w:rsidRPr="00C668C2">
        <w:t xml:space="preserve">ealthy eating and exercise within the schools </w:t>
      </w:r>
      <w:r w:rsidR="00203855" w:rsidRPr="00C668C2">
        <w:t>also plays a large factor in</w:t>
      </w:r>
      <w:r w:rsidRPr="00C668C2">
        <w:t xml:space="preserve"> address</w:t>
      </w:r>
      <w:r w:rsidR="00203855" w:rsidRPr="00C668C2">
        <w:t>ing</w:t>
      </w:r>
      <w:r w:rsidRPr="00C668C2">
        <w:t xml:space="preserve"> obesity and obesity related health conditions</w:t>
      </w:r>
      <w:r w:rsidR="00203855" w:rsidRPr="00C668C2">
        <w:t>, so maybe in the future a partnership with the school to create healthy programs could be possible</w:t>
      </w:r>
      <w:r w:rsidRPr="00C668C2">
        <w:t>.  They could consider implementing multi-component interventions that target both nutrition and physical</w:t>
      </w:r>
      <w:r w:rsidR="00F278B0" w:rsidRPr="00C668C2">
        <w:t xml:space="preserve"> activity.   Some ideas include;</w:t>
      </w:r>
      <w:r w:rsidRPr="00C668C2">
        <w:t xml:space="preserve"> providing nutrition education, leading aerobic and strength training classes, supplying self-help materials</w:t>
      </w:r>
      <w:r w:rsidR="00F278B0" w:rsidRPr="00C668C2">
        <w:t>,</w:t>
      </w:r>
      <w:r w:rsidRPr="00C668C2">
        <w:t xml:space="preserve"> and distributing pedometers to students.   </w:t>
      </w:r>
    </w:p>
    <w:p w:rsidR="00BF5653" w:rsidRPr="00C668C2" w:rsidRDefault="00BF5653" w:rsidP="00BF5653">
      <w:pPr>
        <w:spacing w:after="0" w:line="21" w:lineRule="atLeast"/>
      </w:pPr>
      <w:r w:rsidRPr="00C668C2">
        <w:lastRenderedPageBreak/>
        <w:t xml:space="preserve">After speaking with community healthcare service providers, several weaknesses in the provision of services to the community were revealed.  </w:t>
      </w:r>
      <w:r w:rsidR="00203855" w:rsidRPr="00C668C2">
        <w:t xml:space="preserve">One of the weaknesses that </w:t>
      </w:r>
      <w:r w:rsidRPr="00C668C2">
        <w:t>falls below acceptable levels is the number of p</w:t>
      </w:r>
      <w:r w:rsidR="00203855" w:rsidRPr="00C668C2">
        <w:t>rimary care providers per number</w:t>
      </w:r>
      <w:r w:rsidRPr="00C668C2">
        <w:t xml:space="preserve"> of the population</w:t>
      </w:r>
      <w:r w:rsidR="00F278B0" w:rsidRPr="00C668C2">
        <w:t>,</w:t>
      </w:r>
      <w:r w:rsidRPr="00C668C2">
        <w:t xml:space="preserve"> as indicated in Figure 2.5.  </w:t>
      </w:r>
      <w:r w:rsidR="00E30956" w:rsidRPr="00C668C2">
        <w:t>Pershing Memorial Hospital</w:t>
      </w:r>
      <w:r w:rsidR="00203855" w:rsidRPr="00C668C2">
        <w:t xml:space="preserve"> is</w:t>
      </w:r>
      <w:r w:rsidRPr="00C668C2">
        <w:t xml:space="preserve"> attempt</w:t>
      </w:r>
      <w:r w:rsidR="00203855" w:rsidRPr="00C668C2">
        <w:t>ing</w:t>
      </w:r>
      <w:r w:rsidRPr="00C668C2">
        <w:t xml:space="preserve"> to recruit and retain primary care providers in order to address the shortage in the community.  It is indicated that a large number of preventable hospitalizations are still occurring in the county, so if primary care services can be strengthened it would likely offset those </w:t>
      </w:r>
      <w:r w:rsidR="000678D8" w:rsidRPr="00C668C2">
        <w:t xml:space="preserve">events </w:t>
      </w:r>
      <w:r w:rsidRPr="00C668C2">
        <w:t>and reduce the burden on the county’s emergency departments.</w:t>
      </w:r>
    </w:p>
    <w:p w:rsidR="00BF5653" w:rsidRPr="00C668C2" w:rsidRDefault="00BF5653" w:rsidP="00BF5653">
      <w:pPr>
        <w:spacing w:after="0" w:line="21" w:lineRule="atLeast"/>
      </w:pPr>
    </w:p>
    <w:p w:rsidR="00BF5653" w:rsidRPr="00C668C2" w:rsidRDefault="00BF5653" w:rsidP="00BF5653">
      <w:pPr>
        <w:spacing w:after="0" w:line="21" w:lineRule="atLeast"/>
      </w:pPr>
      <w:r w:rsidRPr="00C668C2">
        <w:t>L</w:t>
      </w:r>
      <w:r w:rsidR="00203855" w:rsidRPr="00C668C2">
        <w:t>i</w:t>
      </w:r>
      <w:r w:rsidR="00E30956" w:rsidRPr="00C668C2">
        <w:t>n</w:t>
      </w:r>
      <w:r w:rsidR="00203855" w:rsidRPr="00C668C2">
        <w:t>n</w:t>
      </w:r>
      <w:r w:rsidRPr="00C668C2">
        <w:t xml:space="preserve"> County’s proximity to Kansas City</w:t>
      </w:r>
      <w:r w:rsidR="00E30956" w:rsidRPr="00C668C2">
        <w:t xml:space="preserve"> and Columbia</w:t>
      </w:r>
      <w:r w:rsidRPr="00C668C2">
        <w:t xml:space="preserve"> creates a number of unique weaknesses and strengths.  First, the attraction of Kansas City</w:t>
      </w:r>
      <w:r w:rsidR="00E30956" w:rsidRPr="00C668C2">
        <w:t xml:space="preserve"> and Columbia</w:t>
      </w:r>
      <w:r w:rsidRPr="00C668C2">
        <w:t xml:space="preserve"> often lures providers, making it difficult for L</w:t>
      </w:r>
      <w:r w:rsidR="007D2124" w:rsidRPr="00C668C2">
        <w:t>i</w:t>
      </w:r>
      <w:r w:rsidR="00C412E2" w:rsidRPr="00C668C2">
        <w:t>n</w:t>
      </w:r>
      <w:r w:rsidR="007D2124" w:rsidRPr="00C668C2">
        <w:t>n</w:t>
      </w:r>
      <w:r w:rsidRPr="00C668C2">
        <w:t xml:space="preserve"> County to recruit providers.  Kansas City also boasts a strong healthcare influence creating a misperception of lower quality healthcare in L</w:t>
      </w:r>
      <w:r w:rsidR="007D2124" w:rsidRPr="00C668C2">
        <w:t>i</w:t>
      </w:r>
      <w:r w:rsidR="00C412E2" w:rsidRPr="00C668C2">
        <w:t>n</w:t>
      </w:r>
      <w:r w:rsidR="007D2124" w:rsidRPr="00C668C2">
        <w:t>n</w:t>
      </w:r>
      <w:r w:rsidRPr="00C668C2">
        <w:t xml:space="preserve"> County.  This misperception leads to a portion of the population believing that in order to receive quality healthcare they must travel </w:t>
      </w:r>
      <w:r w:rsidR="00C412E2" w:rsidRPr="00C668C2">
        <w:t>outside of the community</w:t>
      </w:r>
      <w:r w:rsidRPr="00C668C2">
        <w:t xml:space="preserve">.  This takes a number of possible patients outside the community.  </w:t>
      </w:r>
    </w:p>
    <w:p w:rsidR="00BF5653" w:rsidRPr="00C668C2" w:rsidRDefault="00BF5653" w:rsidP="00BF5653">
      <w:pPr>
        <w:spacing w:after="0" w:line="21" w:lineRule="atLeast"/>
      </w:pPr>
    </w:p>
    <w:p w:rsidR="00BF5653" w:rsidRPr="00C668C2" w:rsidRDefault="00BF5653" w:rsidP="00BF5653">
      <w:pPr>
        <w:autoSpaceDE w:val="0"/>
        <w:autoSpaceDN w:val="0"/>
        <w:adjustRightInd w:val="0"/>
        <w:spacing w:after="0" w:line="21" w:lineRule="atLeast"/>
      </w:pPr>
      <w:r w:rsidRPr="00C668C2">
        <w:t>Another stressor on the health of L</w:t>
      </w:r>
      <w:r w:rsidR="007D2124" w:rsidRPr="00C668C2">
        <w:t>i</w:t>
      </w:r>
      <w:r w:rsidR="00C412E2" w:rsidRPr="00C668C2">
        <w:t>n</w:t>
      </w:r>
      <w:r w:rsidR="007D2124" w:rsidRPr="00C668C2">
        <w:t xml:space="preserve">n </w:t>
      </w:r>
      <w:r w:rsidRPr="00C668C2">
        <w:t xml:space="preserve">County is the lack of specialty providers.  While the lack of local specialists could make for a deficiency in specialty care for the community, it is one aspect that the proximity to Kansas City </w:t>
      </w:r>
      <w:r w:rsidR="00C412E2" w:rsidRPr="00C668C2">
        <w:t xml:space="preserve">and Columbia </w:t>
      </w:r>
      <w:r w:rsidRPr="00C668C2">
        <w:t>alleviates.  With Kansas City offering a number of specialty services</w:t>
      </w:r>
      <w:r w:rsidR="00F278B0" w:rsidRPr="00C668C2">
        <w:t>,</w:t>
      </w:r>
      <w:r w:rsidRPr="00C668C2">
        <w:t xml:space="preserve"> L</w:t>
      </w:r>
      <w:r w:rsidR="007D2124" w:rsidRPr="00C668C2">
        <w:t>i</w:t>
      </w:r>
      <w:r w:rsidR="00C412E2" w:rsidRPr="00C668C2">
        <w:t>n</w:t>
      </w:r>
      <w:r w:rsidR="007D2124" w:rsidRPr="00C668C2">
        <w:t>n</w:t>
      </w:r>
      <w:r w:rsidRPr="00C668C2">
        <w:t xml:space="preserve"> County is relieved from the pressures of these hard to recruit positions.  Nonetheless, </w:t>
      </w:r>
      <w:r w:rsidR="00C412E2" w:rsidRPr="00C668C2">
        <w:t>Pershing Memorial Hospital</w:t>
      </w:r>
      <w:r w:rsidRPr="00C668C2">
        <w:t xml:space="preserve"> should</w:t>
      </w:r>
      <w:r w:rsidR="007D2124" w:rsidRPr="00C668C2">
        <w:t xml:space="preserve"> continue to</w:t>
      </w:r>
      <w:r w:rsidRPr="00C668C2">
        <w:t xml:space="preserve"> attempt to recruit specialists in order to address the shortage they have in the community.  </w:t>
      </w:r>
    </w:p>
    <w:p w:rsidR="00BF5653" w:rsidRPr="00C668C2" w:rsidRDefault="00BF5653" w:rsidP="00BF5653">
      <w:pPr>
        <w:spacing w:after="0" w:line="21" w:lineRule="atLeast"/>
      </w:pPr>
    </w:p>
    <w:p w:rsidR="00BF5653" w:rsidRPr="00C668C2" w:rsidRDefault="00BF5653" w:rsidP="007D2124">
      <w:pPr>
        <w:spacing w:after="0" w:line="21" w:lineRule="atLeast"/>
      </w:pPr>
      <w:r w:rsidRPr="00C668C2">
        <w:t>The information provided in this assessment should be used as a tool to community stakeholders when deciding the next step in community health.  The health of L</w:t>
      </w:r>
      <w:r w:rsidR="008E5E8D" w:rsidRPr="00C668C2">
        <w:t>i</w:t>
      </w:r>
      <w:r w:rsidR="00C412E2" w:rsidRPr="00C668C2">
        <w:t>n</w:t>
      </w:r>
      <w:r w:rsidR="008E5E8D" w:rsidRPr="00C668C2">
        <w:t>n</w:t>
      </w:r>
      <w:r w:rsidRPr="00C668C2">
        <w:t xml:space="preserve"> County is st</w:t>
      </w:r>
      <w:r w:rsidR="00C412E2" w:rsidRPr="00C668C2">
        <w:t>able</w:t>
      </w:r>
      <w:r w:rsidR="00F278B0" w:rsidRPr="00C668C2">
        <w:t>,</w:t>
      </w:r>
      <w:r w:rsidRPr="00C668C2">
        <w:t xml:space="preserve"> but also should expect to confront challenges caused by negative trends in health factors and a changing population mix.  It will be important that the community address these challenges and make decisions based on community needs moving forward.</w:t>
      </w:r>
    </w:p>
    <w:p w:rsidR="00BF5653" w:rsidRPr="007D2124" w:rsidRDefault="00BF5653" w:rsidP="001844DB">
      <w:pPr>
        <w:pStyle w:val="Heading1"/>
        <w:spacing w:before="120" w:line="240" w:lineRule="auto"/>
        <w:contextualSpacing/>
        <w:rPr>
          <w:rFonts w:ascii="Times New Roman" w:hAnsi="Times New Roman"/>
          <w:color w:val="auto"/>
          <w:sz w:val="24"/>
          <w:szCs w:val="24"/>
        </w:rPr>
      </w:pPr>
      <w:r w:rsidRPr="00074652">
        <w:br w:type="page"/>
      </w:r>
      <w:bookmarkStart w:id="192" w:name="_Toc292981245"/>
      <w:bookmarkStart w:id="193" w:name="_Toc318638325"/>
      <w:bookmarkStart w:id="194" w:name="_Toc229126517"/>
      <w:r w:rsidR="00115091" w:rsidRPr="00A91843">
        <w:rPr>
          <w:color w:val="auto"/>
          <w:lang w:val="en-US"/>
        </w:rPr>
        <w:lastRenderedPageBreak/>
        <w:t>VII.</w:t>
      </w:r>
      <w:r w:rsidR="00115091">
        <w:rPr>
          <w:lang w:val="en-US"/>
        </w:rPr>
        <w:t xml:space="preserve"> </w:t>
      </w:r>
      <w:r w:rsidRPr="007D2124">
        <w:rPr>
          <w:color w:val="auto"/>
        </w:rPr>
        <w:t>R</w:t>
      </w:r>
      <w:r w:rsidRPr="007D2124">
        <w:rPr>
          <w:rStyle w:val="Heading1Char"/>
          <w:caps/>
          <w:color w:val="auto"/>
        </w:rPr>
        <w:t>eferences</w:t>
      </w:r>
      <w:bookmarkEnd w:id="192"/>
      <w:bookmarkEnd w:id="193"/>
      <w:bookmarkEnd w:id="194"/>
    </w:p>
    <w:p w:rsidR="001844DB" w:rsidRPr="00400EBF" w:rsidRDefault="001844DB" w:rsidP="00BF5653">
      <w:pPr>
        <w:autoSpaceDE w:val="0"/>
        <w:autoSpaceDN w:val="0"/>
        <w:adjustRightInd w:val="0"/>
        <w:spacing w:after="0" w:line="240" w:lineRule="auto"/>
      </w:pPr>
    </w:p>
    <w:p w:rsidR="00EC7C15" w:rsidRPr="001844DB" w:rsidRDefault="00EC7C15" w:rsidP="00435D68">
      <w:pPr>
        <w:spacing w:after="0" w:line="360" w:lineRule="auto"/>
        <w:ind w:left="720" w:hanging="720"/>
      </w:pPr>
      <w:r w:rsidRPr="001844DB">
        <w:t>CLRChoice, inc. , CLRSearch (n.d.). Retrieved from website: http://www.clrsearch</w:t>
      </w:r>
      <w:r w:rsidR="00913DC9">
        <w:t>.com/Sitemap/Missouri/Linn</w:t>
      </w:r>
      <w:r w:rsidRPr="001844DB">
        <w:t>_County</w:t>
      </w:r>
    </w:p>
    <w:p w:rsidR="00EC7C15" w:rsidRPr="001844DB" w:rsidRDefault="00EC7C15" w:rsidP="00431C55">
      <w:pPr>
        <w:spacing w:after="0" w:line="360" w:lineRule="auto"/>
        <w:ind w:left="720" w:hanging="720"/>
      </w:pPr>
      <w:r w:rsidRPr="001844DB">
        <w:t>Do-it-Yourself, State Mapping Utility. (n.d.). Retrieved from website: http://diymaps.net/</w:t>
      </w:r>
    </w:p>
    <w:p w:rsidR="00EC7C15" w:rsidRPr="001844DB" w:rsidRDefault="00EC7C15" w:rsidP="00431C55">
      <w:pPr>
        <w:ind w:left="720" w:hanging="720"/>
      </w:pPr>
      <w:r w:rsidRPr="001844DB">
        <w:t xml:space="preserve">Health News Story-WSOCTV.com. (2006). The Aging Population and Health Care Needs. Retrieved on April 22, 2011 from </w:t>
      </w:r>
      <w:hyperlink r:id="rId61" w:history="1">
        <w:r w:rsidRPr="001844DB">
          <w:rPr>
            <w:rStyle w:val="Hyperlink"/>
            <w:color w:val="auto"/>
          </w:rPr>
          <w:t>http://www.wsoctv.com/health/9737364/detail.html</w:t>
        </w:r>
      </w:hyperlink>
      <w:r w:rsidRPr="001844DB">
        <w:t>.</w:t>
      </w:r>
    </w:p>
    <w:p w:rsidR="00EC7C15" w:rsidRPr="001844DB" w:rsidRDefault="00EC7C15" w:rsidP="00431C55">
      <w:pPr>
        <w:spacing w:after="0" w:line="360" w:lineRule="auto"/>
        <w:ind w:left="720" w:hanging="720"/>
      </w:pPr>
      <w:r w:rsidRPr="001844DB">
        <w:t xml:space="preserve">Internal Revenue Service , (n.d.). Section 2, Retrieved from website: http://www.irs.gov/irb/2010-24_IRB/ar08.html  </w:t>
      </w:r>
    </w:p>
    <w:p w:rsidR="00EC7C15" w:rsidRPr="001844DB" w:rsidRDefault="00EC7C15" w:rsidP="00435D68">
      <w:pPr>
        <w:spacing w:after="0" w:line="360" w:lineRule="auto"/>
        <w:ind w:left="720" w:hanging="720"/>
      </w:pPr>
      <w:r w:rsidRPr="001844DB">
        <w:t xml:space="preserve">Missouri Hospital Association, Missouri Health Matters. (n.d.). </w:t>
      </w:r>
      <w:r w:rsidRPr="001844DB">
        <w:rPr>
          <w:i/>
          <w:iCs/>
        </w:rPr>
        <w:t>The prevalence of smoking and related conditions</w:t>
      </w:r>
      <w:r w:rsidRPr="001844DB">
        <w:t>. Retrieved from website: http://www.missourihealthmatters.com/community-health/</w:t>
      </w:r>
    </w:p>
    <w:p w:rsidR="00EC7C15" w:rsidRPr="001844DB" w:rsidRDefault="00EC7C15" w:rsidP="00BF5653">
      <w:pPr>
        <w:ind w:left="720" w:hanging="720"/>
      </w:pPr>
      <w:r w:rsidRPr="001844DB">
        <w:rPr>
          <w:color w:val="000000"/>
        </w:rPr>
        <w:t>Powell, l., Shahabi, L.</w:t>
      </w:r>
      <w:r w:rsidRPr="001844DB">
        <w:rPr>
          <w:caps/>
          <w:color w:val="000000"/>
        </w:rPr>
        <w:t>,&amp;</w:t>
      </w:r>
      <w:r w:rsidRPr="001844DB">
        <w:rPr>
          <w:color w:val="000000"/>
        </w:rPr>
        <w:t xml:space="preserve"> Thoresen, C. (2003). Religion and spirituality</w:t>
      </w:r>
      <w:r w:rsidRPr="001844DB">
        <w:rPr>
          <w:caps/>
          <w:color w:val="000000"/>
        </w:rPr>
        <w:t>:</w:t>
      </w:r>
      <w:r w:rsidRPr="001844DB">
        <w:rPr>
          <w:color w:val="000000"/>
        </w:rPr>
        <w:t xml:space="preserve"> Linkages to</w:t>
      </w:r>
      <w:r w:rsidRPr="001844DB">
        <w:rPr>
          <w:caps/>
          <w:color w:val="000000"/>
        </w:rPr>
        <w:t xml:space="preserve"> </w:t>
      </w:r>
      <w:r w:rsidRPr="001844DB">
        <w:rPr>
          <w:color w:val="000000"/>
        </w:rPr>
        <w:t>physical health. American psychologist 5</w:t>
      </w:r>
      <w:r w:rsidRPr="001844DB">
        <w:rPr>
          <w:caps/>
          <w:color w:val="000000"/>
        </w:rPr>
        <w:t>8(1): 36-5</w:t>
      </w:r>
      <w:r w:rsidRPr="001844DB">
        <w:rPr>
          <w:color w:val="000000"/>
        </w:rPr>
        <w:t>2.</w:t>
      </w:r>
    </w:p>
    <w:p w:rsidR="00EC7C15" w:rsidRPr="001844DB" w:rsidRDefault="00EC7C15" w:rsidP="00BF5653">
      <w:pPr>
        <w:ind w:left="720" w:hanging="720"/>
      </w:pPr>
      <w:r w:rsidRPr="001844DB">
        <w:t xml:space="preserve">Rand Corporation-Objective Analysis Effective Solutions. (2002). Age and Gender Differences in Health Care Utilization and Spending for Medicare Beneficiaries. Retrieved on April 23, 2011 from </w:t>
      </w:r>
      <w:r w:rsidRPr="001844DB">
        <w:rPr>
          <w:u w:val="single"/>
        </w:rPr>
        <w:t>http://www.rand.org/pubs/external_publications/EP20020032.html.</w:t>
      </w:r>
    </w:p>
    <w:p w:rsidR="00EC7C15" w:rsidRPr="001844DB" w:rsidRDefault="00EC7C15" w:rsidP="00BF5653">
      <w:pPr>
        <w:autoSpaceDE w:val="0"/>
        <w:autoSpaceDN w:val="0"/>
        <w:adjustRightInd w:val="0"/>
        <w:spacing w:after="0" w:line="240" w:lineRule="auto"/>
        <w:ind w:left="720" w:hanging="720"/>
        <w:rPr>
          <w:rFonts w:cs="Arial"/>
        </w:rPr>
      </w:pPr>
      <w:r w:rsidRPr="001844DB">
        <w:rPr>
          <w:rFonts w:cs="Arial"/>
        </w:rPr>
        <w:t xml:space="preserve">Reinstein, D. (2011). The relationship between health and wealth: Money can't buy you love but it can help keep you well.  Retrieved April 25, 2011, from </w:t>
      </w:r>
      <w:r w:rsidRPr="001844DB">
        <w:rPr>
          <w:rFonts w:cs="Arial"/>
          <w:u w:val="single"/>
        </w:rPr>
        <w:t>http://www.associatedcontent.com/article/6182620/the_relationship_between_health_and_pg2.html?cat=5,</w:t>
      </w:r>
    </w:p>
    <w:p w:rsidR="00EC7C15" w:rsidRPr="001844DB" w:rsidRDefault="00EC7C15" w:rsidP="00435D68">
      <w:pPr>
        <w:spacing w:after="0" w:line="360" w:lineRule="auto"/>
        <w:ind w:left="720" w:hanging="720"/>
      </w:pPr>
      <w:r w:rsidRPr="001844DB">
        <w:t xml:space="preserve">The Association of Religion Data Archives, County Membership Report. (n.d.). </w:t>
      </w:r>
      <w:r w:rsidR="00913DC9">
        <w:rPr>
          <w:i/>
          <w:iCs/>
        </w:rPr>
        <w:t>Lin</w:t>
      </w:r>
      <w:r w:rsidRPr="001844DB">
        <w:rPr>
          <w:i/>
          <w:iCs/>
        </w:rPr>
        <w:t>n county</w:t>
      </w:r>
      <w:r w:rsidRPr="001844DB">
        <w:t xml:space="preserve">. Retrieved from website: http://www.thearda.com/rcms2010/r/c/29/rcms2010_29117_county_name_2010.asp </w:t>
      </w:r>
    </w:p>
    <w:p w:rsidR="00EC7C15" w:rsidRPr="001844DB" w:rsidRDefault="00EC7C15" w:rsidP="001844DB">
      <w:pPr>
        <w:spacing w:after="0" w:line="360" w:lineRule="auto"/>
        <w:ind w:left="720" w:hanging="720"/>
      </w:pPr>
      <w:r>
        <w:t>U. S.</w:t>
      </w:r>
      <w:r w:rsidRPr="001844DB">
        <w:t xml:space="preserve"> Census Bureau, American Fact Finder. (n.d.). Retrieved from website: http://factfinder2.census.gov/faces/nav/jsf/pages/searchresults.xhtml?ref=geo&amp;refresh=t </w:t>
      </w:r>
    </w:p>
    <w:p w:rsidR="00EC7C15" w:rsidRPr="001844DB" w:rsidRDefault="00EC7C15" w:rsidP="00BF5653">
      <w:pPr>
        <w:ind w:left="720" w:hanging="720"/>
      </w:pPr>
      <w:r w:rsidRPr="001844DB">
        <w:t>U.S. Census Bureau-Population Profile of the United States. (2010). National Population Projections.  Retrieved on April 23, 2011 from http://www.census.gov/population/www/pop-profile/natproj.html.</w:t>
      </w:r>
    </w:p>
    <w:p w:rsidR="00EC7C15" w:rsidRPr="001844DB" w:rsidRDefault="00EC7C15" w:rsidP="00BF5653">
      <w:pPr>
        <w:ind w:left="720" w:hanging="720"/>
      </w:pPr>
      <w:r w:rsidRPr="001844DB">
        <w:t>U.S. Census Bureau-State and County</w:t>
      </w:r>
      <w:r w:rsidR="00913DC9">
        <w:t xml:space="preserve"> Quick Facts.  (2010). Lin</w:t>
      </w:r>
      <w:r w:rsidRPr="001844DB">
        <w:t xml:space="preserve">n County Missouri.  Retrieved on June 22, 2012 from </w:t>
      </w:r>
      <w:hyperlink r:id="rId62" w:history="1">
        <w:r w:rsidRPr="001844DB">
          <w:rPr>
            <w:rStyle w:val="Hyperlink"/>
            <w:color w:val="auto"/>
          </w:rPr>
          <w:t>http://quickfacts.census.gov/qfd/states/20/20103.html</w:t>
        </w:r>
      </w:hyperlink>
      <w:r w:rsidRPr="001844DB">
        <w:t>.</w:t>
      </w:r>
    </w:p>
    <w:p w:rsidR="00EC7C15" w:rsidRPr="001844DB" w:rsidRDefault="00EC7C15" w:rsidP="00BF5653">
      <w:pPr>
        <w:tabs>
          <w:tab w:val="left" w:pos="720"/>
        </w:tabs>
        <w:ind w:left="720" w:hanging="720"/>
      </w:pPr>
      <w:r w:rsidRPr="001844DB">
        <w:t>U.S. Department of Health and Human services. Office of Disease Prevention and Health Promotion. Healthy people 2020. Washington, D.C. Retrieved on June 15, 2012 from http://healthypeople.gov/2020/default.aspx</w:t>
      </w:r>
      <w:r w:rsidRPr="001844DB">
        <w:rPr>
          <w:rFonts w:cs="Arial"/>
        </w:rPr>
        <w:t>.</w:t>
      </w:r>
    </w:p>
    <w:p w:rsidR="00EC7C15" w:rsidRPr="001844DB" w:rsidRDefault="00EC7C15" w:rsidP="00BF5653">
      <w:pPr>
        <w:ind w:left="720" w:hanging="720"/>
      </w:pPr>
      <w:r w:rsidRPr="001844DB">
        <w:t>U.S. Social Security Administration.  (2009). SSI Recipients by State and County, 2009. Retrieved on June 22, 2011 from http://www.ssa.gov/policy/docs/statcomps/ssi_sc/2009/ks.html.</w:t>
      </w:r>
    </w:p>
    <w:sectPr w:rsidR="00EC7C15" w:rsidRPr="001844DB" w:rsidSect="00564C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28" w:rsidRDefault="00665128" w:rsidP="00BF5653">
      <w:pPr>
        <w:spacing w:after="0" w:line="240" w:lineRule="auto"/>
      </w:pPr>
      <w:r>
        <w:separator/>
      </w:r>
    </w:p>
  </w:endnote>
  <w:endnote w:type="continuationSeparator" w:id="0">
    <w:p w:rsidR="00665128" w:rsidRDefault="00665128" w:rsidP="00BF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E3" w:rsidRDefault="00CC2BE3">
    <w:pPr>
      <w:pStyle w:val="Footer"/>
      <w:pBdr>
        <w:top w:val="single" w:sz="4" w:space="1" w:color="D9D9D9"/>
      </w:pBdr>
      <w:rPr>
        <w:b/>
        <w:bCs/>
      </w:rPr>
    </w:pPr>
    <w:r>
      <w:fldChar w:fldCharType="begin"/>
    </w:r>
    <w:r>
      <w:instrText xml:space="preserve"> PAGE   \* MERGEFORMAT </w:instrText>
    </w:r>
    <w:r>
      <w:fldChar w:fldCharType="separate"/>
    </w:r>
    <w:r w:rsidR="00FA23ED" w:rsidRPr="00FA23ED">
      <w:rPr>
        <w:b/>
        <w:bCs/>
        <w:noProof/>
      </w:rPr>
      <w:t>1</w:t>
    </w:r>
    <w:r>
      <w:rPr>
        <w:b/>
        <w:bCs/>
        <w:noProof/>
      </w:rPr>
      <w:fldChar w:fldCharType="end"/>
    </w:r>
    <w:r>
      <w:rPr>
        <w:b/>
        <w:bCs/>
      </w:rPr>
      <w:t xml:space="preserve"> | </w:t>
    </w:r>
    <w:r w:rsidRPr="001455B5">
      <w:rPr>
        <w:color w:val="808080"/>
        <w:spacing w:val="60"/>
      </w:rPr>
      <w:t>Page</w:t>
    </w:r>
  </w:p>
  <w:p w:rsidR="00CC2BE3" w:rsidRDefault="00CC2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28" w:rsidRDefault="00665128" w:rsidP="00BF5653">
      <w:pPr>
        <w:spacing w:after="0" w:line="240" w:lineRule="auto"/>
      </w:pPr>
      <w:r>
        <w:separator/>
      </w:r>
    </w:p>
  </w:footnote>
  <w:footnote w:type="continuationSeparator" w:id="0">
    <w:p w:rsidR="00665128" w:rsidRDefault="00665128" w:rsidP="00BF5653">
      <w:pPr>
        <w:spacing w:after="0" w:line="240" w:lineRule="auto"/>
      </w:pPr>
      <w:r>
        <w:continuationSeparator/>
      </w:r>
    </w:p>
  </w:footnote>
  <w:footnote w:id="1">
    <w:p w:rsidR="00CC2BE3" w:rsidRDefault="00CC2BE3" w:rsidP="005310AA">
      <w:pPr>
        <w:spacing w:after="0"/>
        <w:rPr>
          <w:sz w:val="16"/>
          <w:szCs w:val="16"/>
        </w:rPr>
      </w:pPr>
      <w:r w:rsidRPr="00076AE8">
        <w:rPr>
          <w:rStyle w:val="FootnoteReference"/>
          <w:sz w:val="16"/>
          <w:szCs w:val="16"/>
        </w:rPr>
        <w:footnoteRef/>
      </w:r>
      <w:r w:rsidRPr="00076AE8">
        <w:rPr>
          <w:sz w:val="16"/>
          <w:szCs w:val="16"/>
        </w:rPr>
        <w:t xml:space="preserve"> The percent of adult respondents who reported their health “fair” or “poor” when asked: “In general would you say your health is excellent, very </w:t>
      </w:r>
      <w:r>
        <w:rPr>
          <w:sz w:val="16"/>
          <w:szCs w:val="16"/>
        </w:rPr>
        <w:t xml:space="preserve">good, good, fair, or poor?” </w:t>
      </w:r>
    </w:p>
    <w:p w:rsidR="00CC2BE3" w:rsidRPr="005310AA" w:rsidRDefault="00CC2BE3" w:rsidP="005310AA">
      <w:pPr>
        <w:spacing w:after="0"/>
      </w:pPr>
      <w:r>
        <w:rPr>
          <w:rStyle w:val="FootnoteReference"/>
          <w:sz w:val="16"/>
          <w:szCs w:val="16"/>
        </w:rPr>
        <w:t>2</w:t>
      </w:r>
      <w:r w:rsidRPr="00076AE8">
        <w:rPr>
          <w:sz w:val="16"/>
          <w:szCs w:val="16"/>
        </w:rPr>
        <w:t xml:space="preserve"> The number of adults that responded “not good” when asked: ““Thinking about your physical health, which includes physical illness and injury, for how many days during the past 30 days was your physical health not good?”  </w:t>
      </w:r>
    </w:p>
    <w:p w:rsidR="00CC2BE3" w:rsidRDefault="00CC2BE3" w:rsidP="005310AA">
      <w:pPr>
        <w:spacing w:after="0"/>
      </w:pPr>
      <w:r w:rsidRPr="0024596B">
        <w:rPr>
          <w:i/>
          <w:sz w:val="16"/>
          <w:szCs w:val="16"/>
          <w:vertAlign w:val="superscript"/>
        </w:rPr>
        <w:t>3</w:t>
      </w:r>
      <w:r w:rsidRPr="0024596B">
        <w:rPr>
          <w:i/>
          <w:sz w:val="16"/>
          <w:szCs w:val="16"/>
        </w:rPr>
        <w:t>Source:</w:t>
      </w:r>
      <w:r>
        <w:rPr>
          <w:sz w:val="16"/>
          <w:szCs w:val="16"/>
        </w:rPr>
        <w:t xml:space="preserve"> </w:t>
      </w:r>
      <w:r w:rsidRPr="0024596B">
        <w:rPr>
          <w:sz w:val="16"/>
          <w:szCs w:val="16"/>
        </w:rPr>
        <w:t>http://www.countyhealthrankin</w:t>
      </w:r>
      <w:r>
        <w:rPr>
          <w:sz w:val="16"/>
          <w:szCs w:val="16"/>
        </w:rPr>
        <w:t>gs.org/#app/missouri/2012/linn</w:t>
      </w:r>
      <w:r w:rsidRPr="0024596B">
        <w:rPr>
          <w:sz w:val="16"/>
          <w:szCs w:val="16"/>
        </w:rPr>
        <w:t>/county/1/overall</w:t>
      </w:r>
    </w:p>
  </w:footnote>
  <w:footnote w:id="2">
    <w:p w:rsidR="00CC2BE3" w:rsidRDefault="00CC2BE3"/>
    <w:p w:rsidR="00CC2BE3" w:rsidRDefault="00CC2BE3" w:rsidP="00BF5653">
      <w:pPr>
        <w:spacing w:after="0"/>
      </w:pPr>
    </w:p>
  </w:footnote>
  <w:footnote w:id="3">
    <w:p w:rsidR="00CC2BE3" w:rsidRDefault="00CC2BE3"/>
    <w:p w:rsidR="00CC2BE3" w:rsidRDefault="00CC2BE3" w:rsidP="00BF5653">
      <w:pPr>
        <w:pStyle w:val="FootnoteText"/>
      </w:pPr>
    </w:p>
  </w:footnote>
  <w:footnote w:id="4">
    <w:p w:rsidR="00CC2BE3" w:rsidRDefault="00CC2BE3" w:rsidP="00BF5653">
      <w:pPr>
        <w:pStyle w:val="FootnoteText"/>
      </w:pPr>
      <w:r>
        <w:rPr>
          <w:rStyle w:val="FootnoteReference"/>
        </w:rPr>
        <w:footnoteRef/>
      </w:r>
      <w:r>
        <w:t xml:space="preserve"> Moriarty D, Zack M, Kobau R. The Centers for Disease Control and Prevention's Healthy Days Measures--population tracking of perceived physical and mental health over time. </w:t>
      </w:r>
      <w:r>
        <w:rPr>
          <w:i/>
          <w:iCs/>
        </w:rPr>
        <w:t xml:space="preserve">Health Qual Life Outcomes. </w:t>
      </w:r>
      <w:r>
        <w:t>2003;1:37</w:t>
      </w:r>
    </w:p>
  </w:footnote>
  <w:footnote w:id="5">
    <w:p w:rsidR="00CC2BE3" w:rsidRPr="008F657E" w:rsidRDefault="00CC2BE3" w:rsidP="00BF5653">
      <w:pPr>
        <w:pStyle w:val="FootnoteText"/>
        <w:rPr>
          <w:highlight w:val="yellow"/>
        </w:rPr>
      </w:pPr>
      <w:r w:rsidRPr="009501B3">
        <w:rPr>
          <w:rStyle w:val="FootnoteReference"/>
        </w:rPr>
        <w:footnoteRef/>
      </w:r>
      <w:r w:rsidRPr="009501B3">
        <w:t xml:space="preserve"> Source: </w:t>
      </w:r>
      <w:r w:rsidRPr="009501B3">
        <w:rPr>
          <w:u w:val="single"/>
        </w:rPr>
        <w:t>http://www.rand.org/pubs/research_briefs/RB9336/index1.html</w:t>
      </w:r>
    </w:p>
  </w:footnote>
  <w:footnote w:id="6">
    <w:p w:rsidR="00CC2BE3" w:rsidRPr="00076AE8" w:rsidRDefault="00CC2BE3">
      <w:pPr>
        <w:pStyle w:val="FootnoteText"/>
        <w:rPr>
          <w:sz w:val="16"/>
          <w:szCs w:val="16"/>
        </w:rPr>
      </w:pPr>
      <w:r w:rsidRPr="00076AE8">
        <w:rPr>
          <w:rStyle w:val="FootnoteReference"/>
          <w:sz w:val="16"/>
          <w:szCs w:val="16"/>
        </w:rPr>
        <w:footnoteRef/>
      </w:r>
      <w:r w:rsidRPr="00076AE8">
        <w:rPr>
          <w:sz w:val="16"/>
          <w:szCs w:val="16"/>
        </w:rPr>
        <w:t xml:space="preserve"> Estimated percent of the population under age 65 with no health insurance</w:t>
      </w:r>
    </w:p>
    <w:p w:rsidR="00CC2BE3" w:rsidRDefault="00CC2BE3">
      <w:pPr>
        <w:pStyle w:val="FootnoteText"/>
      </w:pPr>
      <w:r w:rsidRPr="00076AE8">
        <w:rPr>
          <w:rStyle w:val="SubtleReference1"/>
          <w:rFonts w:ascii="Cambria" w:hAnsi="Cambria"/>
          <w:iCs/>
          <w:sz w:val="16"/>
          <w:szCs w:val="16"/>
        </w:rPr>
        <w:t xml:space="preserve">Source:   </w:t>
      </w:r>
      <w:r w:rsidRPr="008F657E">
        <w:rPr>
          <w:sz w:val="16"/>
          <w:szCs w:val="16"/>
          <w:u w:val="single"/>
        </w:rPr>
        <w:t>http://www.countyhealthrankings.o</w:t>
      </w:r>
      <w:r>
        <w:rPr>
          <w:sz w:val="16"/>
          <w:szCs w:val="16"/>
          <w:u w:val="single"/>
        </w:rPr>
        <w:t>rg/#app/missouri/2012/linn</w:t>
      </w:r>
      <w:r w:rsidRPr="008F657E">
        <w:rPr>
          <w:sz w:val="16"/>
          <w:szCs w:val="16"/>
          <w:u w:val="single"/>
        </w:rPr>
        <w:t>/county/1/overall</w:t>
      </w:r>
    </w:p>
  </w:footnote>
  <w:footnote w:id="7">
    <w:p w:rsidR="00CC2BE3" w:rsidRPr="00076AE8" w:rsidRDefault="00CC2BE3">
      <w:pPr>
        <w:pStyle w:val="FootnoteText"/>
        <w:rPr>
          <w:sz w:val="16"/>
          <w:szCs w:val="16"/>
        </w:rPr>
      </w:pPr>
      <w:r w:rsidRPr="00076AE8">
        <w:rPr>
          <w:rStyle w:val="FootnoteReference"/>
          <w:sz w:val="16"/>
          <w:szCs w:val="16"/>
        </w:rPr>
        <w:footnoteRef/>
      </w:r>
      <w:r w:rsidRPr="00076AE8">
        <w:rPr>
          <w:sz w:val="16"/>
          <w:szCs w:val="16"/>
        </w:rPr>
        <w:t>Primary care providers include</w:t>
      </w:r>
      <w:r>
        <w:rPr>
          <w:color w:val="FF0000"/>
          <w:sz w:val="16"/>
          <w:szCs w:val="16"/>
          <w:lang w:val="en-US"/>
        </w:rPr>
        <w:t>;</w:t>
      </w:r>
      <w:r w:rsidRPr="00076AE8">
        <w:rPr>
          <w:sz w:val="16"/>
          <w:szCs w:val="16"/>
        </w:rPr>
        <w:t xml:space="preserve"> practicing physicians specializing in general practice medicine, family medicine, internal medicine, pediatrics, and obstetrics/gynecology. The measure represents the population per one provider.</w:t>
      </w:r>
    </w:p>
    <w:p w:rsidR="00CC2BE3" w:rsidRDefault="00CC2BE3">
      <w:pPr>
        <w:pStyle w:val="FootnoteText"/>
      </w:pPr>
      <w:r w:rsidRPr="00076AE8">
        <w:rPr>
          <w:sz w:val="16"/>
          <w:szCs w:val="16"/>
        </w:rPr>
        <w:t xml:space="preserve"> </w:t>
      </w:r>
      <w:r w:rsidRPr="00076AE8">
        <w:rPr>
          <w:rStyle w:val="SubtleReference1"/>
          <w:rFonts w:ascii="Cambria" w:hAnsi="Cambria"/>
          <w:iCs/>
          <w:sz w:val="16"/>
          <w:szCs w:val="16"/>
        </w:rPr>
        <w:t xml:space="preserve">Source:   </w:t>
      </w:r>
      <w:r w:rsidRPr="008F657E">
        <w:rPr>
          <w:sz w:val="16"/>
          <w:szCs w:val="16"/>
          <w:u w:val="single"/>
        </w:rPr>
        <w:t>http://www.countyhealthrankings.org/#app/mis</w:t>
      </w:r>
      <w:r>
        <w:rPr>
          <w:sz w:val="16"/>
          <w:szCs w:val="16"/>
          <w:u w:val="single"/>
        </w:rPr>
        <w:t>souri/2012/linn</w:t>
      </w:r>
      <w:r w:rsidRPr="008F657E">
        <w:rPr>
          <w:sz w:val="16"/>
          <w:szCs w:val="16"/>
          <w:u w:val="single"/>
        </w:rPr>
        <w:t>/county/1/overall</w:t>
      </w:r>
    </w:p>
  </w:footnote>
  <w:footnote w:id="8">
    <w:p w:rsidR="00CC2BE3" w:rsidRPr="008F657E" w:rsidRDefault="00CC2BE3">
      <w:pPr>
        <w:pStyle w:val="FootnoteText"/>
        <w:rPr>
          <w:sz w:val="16"/>
          <w:szCs w:val="16"/>
        </w:rPr>
      </w:pPr>
      <w:r w:rsidRPr="00076AE8">
        <w:rPr>
          <w:rStyle w:val="FootnoteReference"/>
          <w:sz w:val="16"/>
          <w:szCs w:val="16"/>
        </w:rPr>
        <w:footnoteRef/>
      </w:r>
      <w:r w:rsidRPr="00076AE8">
        <w:rPr>
          <w:sz w:val="16"/>
          <w:szCs w:val="16"/>
        </w:rPr>
        <w:t>Preventable hospital stays are measured as the hospital discharge rate for ambulatory care-sensitive condition</w:t>
      </w:r>
      <w:r>
        <w:rPr>
          <w:sz w:val="16"/>
          <w:szCs w:val="16"/>
        </w:rPr>
        <w:t>s per 1,000 Medicare enrollees.</w:t>
      </w:r>
      <w:r>
        <w:rPr>
          <w:sz w:val="16"/>
          <w:szCs w:val="16"/>
          <w:lang w:val="en-US"/>
        </w:rPr>
        <w:t xml:space="preserve"> </w:t>
      </w:r>
      <w:r w:rsidRPr="00076AE8">
        <w:rPr>
          <w:rStyle w:val="SubtleReference1"/>
          <w:rFonts w:ascii="Cambria" w:hAnsi="Cambria"/>
          <w:iCs/>
          <w:sz w:val="16"/>
          <w:szCs w:val="16"/>
        </w:rPr>
        <w:t xml:space="preserve">Source:   </w:t>
      </w:r>
      <w:r w:rsidRPr="008F657E">
        <w:rPr>
          <w:sz w:val="16"/>
          <w:szCs w:val="16"/>
          <w:u w:val="single"/>
        </w:rPr>
        <w:t>http://www.countyhealthrankings.</w:t>
      </w:r>
      <w:r>
        <w:rPr>
          <w:sz w:val="16"/>
          <w:szCs w:val="16"/>
          <w:u w:val="single"/>
        </w:rPr>
        <w:t>org/#app/missouri/2012/linn</w:t>
      </w:r>
      <w:r w:rsidRPr="008F657E">
        <w:rPr>
          <w:sz w:val="16"/>
          <w:szCs w:val="16"/>
          <w:u w:val="single"/>
        </w:rPr>
        <w:t>/county/1/overall</w:t>
      </w:r>
    </w:p>
  </w:footnote>
  <w:footnote w:id="9">
    <w:p w:rsidR="00CC2BE3" w:rsidRDefault="00CC2BE3">
      <w:pPr>
        <w:pStyle w:val="FootnoteText"/>
      </w:pPr>
      <w:r w:rsidRPr="00076AE8">
        <w:rPr>
          <w:rStyle w:val="FootnoteReference"/>
          <w:sz w:val="16"/>
          <w:szCs w:val="16"/>
        </w:rPr>
        <w:footnoteRef/>
      </w:r>
      <w:r w:rsidRPr="00076AE8">
        <w:rPr>
          <w:sz w:val="16"/>
          <w:szCs w:val="16"/>
        </w:rPr>
        <w:t xml:space="preserve">Diabetic screening is calculated as the percent of diabetic Medicare patients whose blood sugar control was screened in the past year using a test of their glycated hemoglobin (HbA1c) levels.   </w:t>
      </w:r>
      <w:r w:rsidRPr="00076AE8">
        <w:rPr>
          <w:rStyle w:val="SubtleReference1"/>
          <w:rFonts w:ascii="Cambria" w:hAnsi="Cambria"/>
          <w:iCs/>
          <w:sz w:val="16"/>
          <w:szCs w:val="16"/>
        </w:rPr>
        <w:t xml:space="preserve">Source:   </w:t>
      </w:r>
      <w:r w:rsidRPr="008F657E">
        <w:rPr>
          <w:sz w:val="16"/>
          <w:szCs w:val="16"/>
          <w:u w:val="single"/>
        </w:rPr>
        <w:t>http://www.countyhealthrankings.o</w:t>
      </w:r>
      <w:r>
        <w:rPr>
          <w:sz w:val="16"/>
          <w:szCs w:val="16"/>
          <w:u w:val="single"/>
        </w:rPr>
        <w:t>rg/#app/missouri/2012/linn</w:t>
      </w:r>
      <w:r w:rsidRPr="008F657E">
        <w:rPr>
          <w:sz w:val="16"/>
          <w:szCs w:val="16"/>
          <w:u w:val="single"/>
        </w:rPr>
        <w:t>/county/1/overall</w:t>
      </w:r>
    </w:p>
  </w:footnote>
  <w:footnote w:id="10">
    <w:p w:rsidR="00CC2BE3" w:rsidRPr="00076AE8" w:rsidRDefault="00CC2BE3">
      <w:pPr>
        <w:pStyle w:val="FootnoteText"/>
        <w:rPr>
          <w:sz w:val="16"/>
          <w:szCs w:val="16"/>
        </w:rPr>
      </w:pPr>
      <w:r w:rsidRPr="00076AE8">
        <w:rPr>
          <w:rStyle w:val="FootnoteReference"/>
          <w:sz w:val="16"/>
          <w:szCs w:val="16"/>
        </w:rPr>
        <w:footnoteRef/>
      </w:r>
      <w:r w:rsidRPr="00076AE8">
        <w:rPr>
          <w:sz w:val="16"/>
        </w:rPr>
        <w:t>This measure represents the percent of female Medicare enrollees age 67-69 that had at least one mammogram over a two-year period.</w:t>
      </w:r>
    </w:p>
    <w:p w:rsidR="00CC2BE3" w:rsidRDefault="00CC2BE3">
      <w:pPr>
        <w:pStyle w:val="FootnoteText"/>
      </w:pPr>
      <w:r w:rsidRPr="00076AE8">
        <w:rPr>
          <w:sz w:val="16"/>
          <w:szCs w:val="16"/>
        </w:rPr>
        <w:t xml:space="preserve"> </w:t>
      </w:r>
      <w:r w:rsidRPr="00076AE8">
        <w:rPr>
          <w:rStyle w:val="SubtleReference1"/>
          <w:rFonts w:ascii="Cambria" w:hAnsi="Cambria"/>
          <w:iCs/>
          <w:sz w:val="16"/>
          <w:szCs w:val="16"/>
        </w:rPr>
        <w:t xml:space="preserve">Source:   </w:t>
      </w:r>
      <w:r w:rsidRPr="008F657E">
        <w:rPr>
          <w:sz w:val="16"/>
          <w:szCs w:val="16"/>
          <w:u w:val="single"/>
        </w:rPr>
        <w:t>http://www.countyhealthrankings.org/#app/missouri/2012/li</w:t>
      </w:r>
      <w:r>
        <w:rPr>
          <w:sz w:val="16"/>
          <w:szCs w:val="16"/>
          <w:u w:val="single"/>
        </w:rPr>
        <w:t>nn</w:t>
      </w:r>
      <w:r w:rsidRPr="008F657E">
        <w:rPr>
          <w:sz w:val="16"/>
          <w:szCs w:val="16"/>
          <w:u w:val="single"/>
        </w:rPr>
        <w:t>/county/1/overall</w:t>
      </w:r>
    </w:p>
  </w:footnote>
  <w:footnote w:id="11">
    <w:p w:rsidR="00CC2BE3" w:rsidRDefault="00CC2BE3" w:rsidP="00FE36DD">
      <w:r w:rsidRPr="00076AE8">
        <w:rPr>
          <w:rStyle w:val="FootnoteReference"/>
          <w:sz w:val="16"/>
          <w:szCs w:val="16"/>
        </w:rPr>
        <w:footnoteRef/>
      </w:r>
      <w:r w:rsidRPr="00076AE8">
        <w:rPr>
          <w:sz w:val="16"/>
          <w:szCs w:val="16"/>
        </w:rPr>
        <w:t xml:space="preserve"> </w:t>
      </w:r>
      <w:r w:rsidRPr="00076AE8">
        <w:rPr>
          <w:rStyle w:val="SubtleReference1"/>
          <w:rFonts w:ascii="Cambria" w:hAnsi="Cambria"/>
          <w:iCs/>
          <w:sz w:val="16"/>
          <w:szCs w:val="16"/>
        </w:rPr>
        <w:t xml:space="preserve">Source:   </w:t>
      </w:r>
      <w:r w:rsidRPr="00992597">
        <w:rPr>
          <w:sz w:val="16"/>
          <w:szCs w:val="16"/>
          <w:u w:val="single"/>
        </w:rPr>
        <w:t>http://muafind.hrsa.gov/index.aspx</w:t>
      </w:r>
    </w:p>
  </w:footnote>
  <w:footnote w:id="12">
    <w:p w:rsidR="00CC2BE3" w:rsidRDefault="00CC2BE3">
      <w:pPr>
        <w:pStyle w:val="FootnoteText"/>
      </w:pPr>
      <w:r w:rsidRPr="00076AE8">
        <w:rPr>
          <w:rStyle w:val="FootnoteReference"/>
          <w:sz w:val="16"/>
          <w:szCs w:val="16"/>
        </w:rPr>
        <w:footnoteRef/>
      </w:r>
      <w:r w:rsidRPr="00076AE8">
        <w:rPr>
          <w:sz w:val="16"/>
          <w:szCs w:val="16"/>
        </w:rPr>
        <w:t xml:space="preserve">The estimated percent of the adult population that currently smokes every day or “most days” and has smoked at least 100 cigarettes in their lifetime.  </w:t>
      </w:r>
      <w:r w:rsidRPr="00076AE8">
        <w:rPr>
          <w:rStyle w:val="SubtleReference1"/>
          <w:rFonts w:ascii="Cambria" w:hAnsi="Cambria"/>
          <w:iCs/>
          <w:sz w:val="16"/>
          <w:szCs w:val="16"/>
        </w:rPr>
        <w:t xml:space="preserve">Source:  </w:t>
      </w:r>
      <w:r w:rsidRPr="003B3D1B">
        <w:rPr>
          <w:sz w:val="16"/>
          <w:szCs w:val="16"/>
          <w:u w:val="single"/>
        </w:rPr>
        <w:t>http://www.countyhealthrankings.o</w:t>
      </w:r>
      <w:r>
        <w:rPr>
          <w:sz w:val="16"/>
          <w:szCs w:val="16"/>
          <w:u w:val="single"/>
        </w:rPr>
        <w:t>rg/#app/missouri/2012/linn</w:t>
      </w:r>
      <w:r w:rsidRPr="003B3D1B">
        <w:rPr>
          <w:sz w:val="16"/>
          <w:szCs w:val="16"/>
          <w:u w:val="single"/>
        </w:rPr>
        <w:t>/county/1/overall</w:t>
      </w:r>
    </w:p>
  </w:footnote>
  <w:footnote w:id="13">
    <w:p w:rsidR="00CC2BE3" w:rsidRDefault="00CC2BE3">
      <w:pPr>
        <w:pStyle w:val="FootnoteText"/>
      </w:pPr>
      <w:r w:rsidRPr="00076AE8">
        <w:rPr>
          <w:rStyle w:val="FootnoteReference"/>
          <w:sz w:val="16"/>
          <w:szCs w:val="16"/>
        </w:rPr>
        <w:footnoteRef/>
      </w:r>
      <w:r w:rsidRPr="00076AE8">
        <w:rPr>
          <w:sz w:val="16"/>
          <w:szCs w:val="16"/>
        </w:rPr>
        <w:t xml:space="preserve"> The adult obesity measure represents the percent of the adult population (age 20 and older) that has a body mass index (BMI) greater than or equal to 30 kg/m2.  </w:t>
      </w:r>
      <w:r w:rsidRPr="00076AE8">
        <w:rPr>
          <w:rStyle w:val="SubtleReference1"/>
          <w:rFonts w:ascii="Cambria" w:hAnsi="Cambria"/>
          <w:iCs/>
          <w:sz w:val="16"/>
          <w:szCs w:val="16"/>
        </w:rPr>
        <w:t xml:space="preserve">Source:  </w:t>
      </w:r>
      <w:r w:rsidRPr="003B3D1B">
        <w:rPr>
          <w:sz w:val="16"/>
          <w:szCs w:val="16"/>
          <w:u w:val="single"/>
        </w:rPr>
        <w:t>http://www.countyhealthrankings.o</w:t>
      </w:r>
      <w:r>
        <w:rPr>
          <w:sz w:val="16"/>
          <w:szCs w:val="16"/>
          <w:u w:val="single"/>
        </w:rPr>
        <w:t>rg/#app/missouri/2012/linn</w:t>
      </w:r>
      <w:r w:rsidRPr="003B3D1B">
        <w:rPr>
          <w:sz w:val="16"/>
          <w:szCs w:val="16"/>
          <w:u w:val="single"/>
        </w:rPr>
        <w:t>/county/1/overall</w:t>
      </w:r>
    </w:p>
  </w:footnote>
  <w:footnote w:id="14">
    <w:p w:rsidR="00CC2BE3" w:rsidRDefault="00CC2BE3">
      <w:pPr>
        <w:pStyle w:val="FootnoteText"/>
        <w:rPr>
          <w:sz w:val="16"/>
          <w:szCs w:val="16"/>
          <w:lang w:val="en-US"/>
        </w:rPr>
      </w:pPr>
      <w:r w:rsidRPr="00076AE8">
        <w:rPr>
          <w:rStyle w:val="FootnoteReference"/>
          <w:sz w:val="16"/>
          <w:szCs w:val="16"/>
        </w:rPr>
        <w:footnoteRef/>
      </w:r>
      <w:r w:rsidRPr="00076AE8">
        <w:rPr>
          <w:sz w:val="16"/>
          <w:szCs w:val="16"/>
        </w:rPr>
        <w:t xml:space="preserve"> The excessive drinking measure reflects the percent of the adult population that reports either binge drinking, defined as consuming more than 4 (women) or 5 (men) alcoholic beverages on a single occasion in the past 30 days, or heavy drinking, defined as drinking more than 1 (women) or 2 (men) drinks per day on average.  </w:t>
      </w:r>
    </w:p>
    <w:p w:rsidR="00CC2BE3" w:rsidRDefault="00CC2BE3">
      <w:pPr>
        <w:pStyle w:val="FootnoteText"/>
      </w:pPr>
      <w:r w:rsidRPr="00076AE8">
        <w:rPr>
          <w:rStyle w:val="SubtleReference1"/>
          <w:rFonts w:ascii="Cambria" w:hAnsi="Cambria"/>
          <w:iCs/>
          <w:sz w:val="16"/>
          <w:szCs w:val="16"/>
        </w:rPr>
        <w:t xml:space="preserve">Source:  </w:t>
      </w:r>
      <w:r w:rsidRPr="003B3D1B">
        <w:rPr>
          <w:sz w:val="16"/>
          <w:szCs w:val="16"/>
          <w:u w:val="single"/>
        </w:rPr>
        <w:t>http://www.countyhealthrankings.o</w:t>
      </w:r>
      <w:r>
        <w:rPr>
          <w:sz w:val="16"/>
          <w:szCs w:val="16"/>
          <w:u w:val="single"/>
        </w:rPr>
        <w:t>rg/#app/missouri/2012/linn</w:t>
      </w:r>
      <w:r w:rsidRPr="003B3D1B">
        <w:rPr>
          <w:sz w:val="16"/>
          <w:szCs w:val="16"/>
          <w:u w:val="single"/>
        </w:rPr>
        <w:t>/county/1/overall</w:t>
      </w:r>
    </w:p>
  </w:footnote>
  <w:footnote w:id="15">
    <w:p w:rsidR="00CC2BE3" w:rsidRDefault="00CC2BE3">
      <w:pPr>
        <w:pStyle w:val="FootnoteText"/>
      </w:pPr>
      <w:r w:rsidRPr="00076AE8">
        <w:rPr>
          <w:rStyle w:val="FootnoteReference"/>
          <w:sz w:val="16"/>
          <w:szCs w:val="16"/>
        </w:rPr>
        <w:footnoteRef/>
      </w:r>
      <w:r w:rsidRPr="00076AE8">
        <w:rPr>
          <w:sz w:val="16"/>
          <w:szCs w:val="16"/>
        </w:rPr>
        <w:t xml:space="preserve"> Motor vehicle crash deaths are measured as the crude mortality rate per 100,000 population due to on- or off-road accidents involving a motor vehicle.  </w:t>
      </w:r>
      <w:r w:rsidRPr="00076AE8">
        <w:rPr>
          <w:rStyle w:val="SubtleReference1"/>
          <w:rFonts w:ascii="Cambria" w:hAnsi="Cambria"/>
          <w:iCs/>
          <w:sz w:val="16"/>
          <w:szCs w:val="16"/>
        </w:rPr>
        <w:t xml:space="preserve">Source:  </w:t>
      </w:r>
      <w:r w:rsidRPr="003B3D1B">
        <w:rPr>
          <w:sz w:val="16"/>
          <w:szCs w:val="16"/>
          <w:u w:val="single"/>
        </w:rPr>
        <w:t>http://www.countyhealthrankings.o</w:t>
      </w:r>
      <w:r>
        <w:rPr>
          <w:sz w:val="16"/>
          <w:szCs w:val="16"/>
          <w:u w:val="single"/>
        </w:rPr>
        <w:t>rg/#app/missouri/2012/linn</w:t>
      </w:r>
      <w:r w:rsidRPr="003B3D1B">
        <w:rPr>
          <w:sz w:val="16"/>
          <w:szCs w:val="16"/>
          <w:u w:val="single"/>
        </w:rPr>
        <w:t>/county/1/overall</w:t>
      </w:r>
    </w:p>
  </w:footnote>
  <w:footnote w:id="16">
    <w:p w:rsidR="00CC2BE3" w:rsidRDefault="00CC2BE3" w:rsidP="00BF5653">
      <w:pPr>
        <w:pStyle w:val="NormalWeb"/>
        <w:spacing w:before="0" w:beforeAutospacing="0" w:after="0" w:afterAutospacing="0"/>
      </w:pPr>
      <w:r w:rsidRPr="00076AE8">
        <w:rPr>
          <w:rStyle w:val="FootnoteReference"/>
          <w:rFonts w:ascii="Cambria" w:hAnsi="Cambria"/>
          <w:sz w:val="16"/>
          <w:szCs w:val="16"/>
        </w:rPr>
        <w:footnoteRef/>
      </w:r>
      <w:r w:rsidRPr="00076AE8">
        <w:rPr>
          <w:rFonts w:ascii="Cambria" w:hAnsi="Cambria"/>
          <w:sz w:val="16"/>
          <w:szCs w:val="16"/>
        </w:rPr>
        <w:t xml:space="preserve"> The Sexually Transmitted Infection (STI) rate is measured as chlamydia incidence (the number of new cases reported) per 100,000 population.  </w:t>
      </w:r>
      <w:r w:rsidRPr="00076AE8">
        <w:rPr>
          <w:rStyle w:val="SubtleReference1"/>
          <w:rFonts w:ascii="Cambria" w:hAnsi="Cambria"/>
          <w:iCs/>
          <w:sz w:val="16"/>
          <w:szCs w:val="16"/>
        </w:rPr>
        <w:t xml:space="preserve">Source:   </w:t>
      </w:r>
      <w:r w:rsidRPr="003B3D1B">
        <w:rPr>
          <w:rFonts w:ascii="Cambria" w:hAnsi="Cambria"/>
          <w:sz w:val="16"/>
          <w:szCs w:val="16"/>
          <w:u w:val="single"/>
        </w:rPr>
        <w:t>http://www.countyhealthrankings.o</w:t>
      </w:r>
      <w:r>
        <w:rPr>
          <w:rFonts w:ascii="Cambria" w:hAnsi="Cambria"/>
          <w:sz w:val="16"/>
          <w:szCs w:val="16"/>
          <w:u w:val="single"/>
        </w:rPr>
        <w:t>rg/#app/missouri/2012/linn</w:t>
      </w:r>
      <w:r w:rsidRPr="003B3D1B">
        <w:rPr>
          <w:rFonts w:ascii="Cambria" w:hAnsi="Cambria"/>
          <w:sz w:val="16"/>
          <w:szCs w:val="16"/>
          <w:u w:val="single"/>
        </w:rPr>
        <w:t>/county/1/overall</w:t>
      </w:r>
    </w:p>
  </w:footnote>
  <w:footnote w:id="17">
    <w:p w:rsidR="00CC2BE3" w:rsidRPr="00076AE8" w:rsidRDefault="00CC2BE3">
      <w:pPr>
        <w:pStyle w:val="FootnoteText"/>
        <w:rPr>
          <w:sz w:val="16"/>
          <w:szCs w:val="16"/>
        </w:rPr>
      </w:pPr>
      <w:r w:rsidRPr="00076AE8">
        <w:rPr>
          <w:rStyle w:val="FootnoteReference"/>
          <w:sz w:val="16"/>
          <w:szCs w:val="16"/>
        </w:rPr>
        <w:footnoteRef/>
      </w:r>
      <w:r w:rsidRPr="00076AE8">
        <w:rPr>
          <w:sz w:val="16"/>
          <w:szCs w:val="16"/>
        </w:rPr>
        <w:t xml:space="preserve"> Teen births are reported as the number of births per 1,000 female population, ages 15-19.</w:t>
      </w:r>
    </w:p>
    <w:p w:rsidR="00CC2BE3" w:rsidRDefault="00CC2BE3">
      <w:pPr>
        <w:pStyle w:val="FootnoteText"/>
      </w:pPr>
      <w:r w:rsidRPr="00076AE8">
        <w:rPr>
          <w:rStyle w:val="SubtleReference1"/>
          <w:rFonts w:ascii="Cambria" w:hAnsi="Cambria"/>
          <w:iCs/>
          <w:sz w:val="16"/>
          <w:szCs w:val="16"/>
        </w:rPr>
        <w:t xml:space="preserve">Source:   </w:t>
      </w:r>
      <w:r w:rsidRPr="003B3D1B">
        <w:rPr>
          <w:sz w:val="16"/>
          <w:szCs w:val="16"/>
          <w:u w:val="single"/>
        </w:rPr>
        <w:t>http://www.countyhealthrankings.o</w:t>
      </w:r>
      <w:r>
        <w:rPr>
          <w:sz w:val="16"/>
          <w:szCs w:val="16"/>
          <w:u w:val="single"/>
        </w:rPr>
        <w:t>rg/#app/missouri/2012/linn</w:t>
      </w:r>
      <w:r w:rsidRPr="003B3D1B">
        <w:rPr>
          <w:sz w:val="16"/>
          <w:szCs w:val="16"/>
          <w:u w:val="single"/>
        </w:rPr>
        <w:t>/county/1/overall</w:t>
      </w:r>
    </w:p>
  </w:footnote>
  <w:footnote w:id="18">
    <w:p w:rsidR="00CC2BE3" w:rsidRPr="003D1CED" w:rsidRDefault="00CC2BE3">
      <w:pPr>
        <w:pStyle w:val="FootnoteText"/>
        <w:rPr>
          <w:lang w:val="en-US"/>
        </w:rPr>
      </w:pPr>
      <w:r w:rsidRPr="00076AE8">
        <w:rPr>
          <w:rStyle w:val="FootnoteReference"/>
          <w:sz w:val="16"/>
          <w:szCs w:val="16"/>
        </w:rPr>
        <w:footnoteRef/>
      </w:r>
      <w:r w:rsidRPr="00076AE8">
        <w:rPr>
          <w:sz w:val="16"/>
          <w:szCs w:val="16"/>
        </w:rPr>
        <w:t xml:space="preserve"> </w:t>
      </w:r>
      <w:r w:rsidRPr="003D1CED">
        <w:rPr>
          <w:sz w:val="16"/>
          <w:szCs w:val="16"/>
        </w:rPr>
        <w:t>Adults that report having diabetes</w:t>
      </w:r>
      <w:r>
        <w:rPr>
          <w:sz w:val="16"/>
          <w:szCs w:val="16"/>
          <w:lang w:val="en-US"/>
        </w:rPr>
        <w:t xml:space="preserve">. </w:t>
      </w:r>
      <w:r w:rsidRPr="003D1CED">
        <w:rPr>
          <w:rStyle w:val="SubtleReference1"/>
          <w:rFonts w:ascii="Cambria" w:hAnsi="Cambria"/>
          <w:iCs/>
          <w:sz w:val="16"/>
          <w:szCs w:val="16"/>
        </w:rPr>
        <w:t>Source</w:t>
      </w:r>
      <w:r w:rsidRPr="003D1CED">
        <w:rPr>
          <w:rStyle w:val="SubtleReference1"/>
          <w:rFonts w:ascii="Cambria" w:hAnsi="Cambria"/>
          <w:i w:val="0"/>
          <w:iCs/>
          <w:sz w:val="16"/>
          <w:szCs w:val="16"/>
        </w:rPr>
        <w:t xml:space="preserve">: </w:t>
      </w:r>
      <w:r w:rsidRPr="003D1CED">
        <w:rPr>
          <w:i/>
          <w:sz w:val="16"/>
          <w:szCs w:val="16"/>
        </w:rPr>
        <w:t>http://healthindicators.gov/Indicators/Diabetes-percent_125/National_0/Profile/Data</w:t>
      </w:r>
      <w:r>
        <w:rPr>
          <w:sz w:val="16"/>
          <w:szCs w:val="16"/>
          <w:lang w:val="en-US"/>
        </w:rPr>
        <w:t xml:space="preserve"> </w:t>
      </w:r>
    </w:p>
  </w:footnote>
  <w:footnote w:id="19">
    <w:p w:rsidR="00CC2BE3" w:rsidRDefault="00CC2BE3">
      <w:pPr>
        <w:pStyle w:val="FootnoteText"/>
      </w:pPr>
      <w:r w:rsidRPr="00076AE8">
        <w:rPr>
          <w:rStyle w:val="FootnoteReference"/>
          <w:sz w:val="16"/>
          <w:szCs w:val="16"/>
        </w:rPr>
        <w:footnoteRef/>
      </w:r>
      <w:r w:rsidRPr="00076AE8">
        <w:rPr>
          <w:sz w:val="16"/>
          <w:szCs w:val="16"/>
        </w:rPr>
        <w:t xml:space="preserve"> </w:t>
      </w:r>
      <w:r w:rsidRPr="00413B06">
        <w:rPr>
          <w:sz w:val="16"/>
          <w:szCs w:val="16"/>
        </w:rPr>
        <w:t>Adults that report fewer than 5 servings of fruits/vegetables per day</w:t>
      </w:r>
      <w:r w:rsidRPr="00076AE8">
        <w:rPr>
          <w:color w:val="000000"/>
          <w:sz w:val="16"/>
          <w:szCs w:val="16"/>
        </w:rPr>
        <w:t xml:space="preserve">.  </w:t>
      </w:r>
      <w:r w:rsidRPr="003D1CED">
        <w:rPr>
          <w:i/>
          <w:color w:val="000000"/>
          <w:sz w:val="16"/>
          <w:szCs w:val="16"/>
          <w:lang w:val="en-US"/>
        </w:rPr>
        <w:t xml:space="preserve">Source: </w:t>
      </w:r>
      <w:r w:rsidRPr="003D1CED">
        <w:rPr>
          <w:i/>
          <w:sz w:val="16"/>
          <w:szCs w:val="16"/>
        </w:rPr>
        <w:t>http://healthindicators.gov/Indicators/Few-fruitsvegetables-percent_121/National_0/Profile/Data</w:t>
      </w:r>
    </w:p>
  </w:footnote>
  <w:footnote w:id="20">
    <w:p w:rsidR="00CC2BE3" w:rsidRPr="00E058F0" w:rsidRDefault="00CC2BE3">
      <w:pPr>
        <w:pStyle w:val="FootnoteText"/>
        <w:rPr>
          <w:lang w:val="en-US"/>
        </w:rPr>
      </w:pPr>
      <w:r w:rsidRPr="00076AE8">
        <w:rPr>
          <w:rStyle w:val="FootnoteReference"/>
          <w:sz w:val="16"/>
          <w:szCs w:val="16"/>
        </w:rPr>
        <w:footnoteRef/>
      </w:r>
      <w:r w:rsidRPr="00076AE8">
        <w:rPr>
          <w:sz w:val="16"/>
          <w:szCs w:val="16"/>
        </w:rPr>
        <w:t xml:space="preserve"> </w:t>
      </w:r>
      <w:r w:rsidRPr="000D219D">
        <w:rPr>
          <w:sz w:val="16"/>
          <w:szCs w:val="16"/>
        </w:rPr>
        <w:t>Adults that report high blood pressure</w:t>
      </w:r>
      <w:r w:rsidRPr="00076AE8">
        <w:rPr>
          <w:color w:val="000000"/>
          <w:sz w:val="16"/>
          <w:szCs w:val="16"/>
        </w:rPr>
        <w:t xml:space="preserve">.  </w:t>
      </w:r>
      <w:r w:rsidRPr="00076AE8">
        <w:rPr>
          <w:rStyle w:val="SubtleReference1"/>
          <w:rFonts w:ascii="Cambria" w:hAnsi="Cambria"/>
          <w:iCs/>
          <w:sz w:val="16"/>
          <w:szCs w:val="16"/>
        </w:rPr>
        <w:t>Source:</w:t>
      </w:r>
      <w:r w:rsidRPr="00E058F0">
        <w:rPr>
          <w:rStyle w:val="SubtleReference1"/>
          <w:rFonts w:ascii="Cambria" w:hAnsi="Cambria"/>
          <w:iCs/>
          <w:sz w:val="16"/>
          <w:szCs w:val="16"/>
        </w:rPr>
        <w:t xml:space="preserve"> </w:t>
      </w:r>
      <w:r w:rsidRPr="00E058F0">
        <w:rPr>
          <w:i/>
          <w:sz w:val="16"/>
          <w:szCs w:val="16"/>
        </w:rPr>
        <w:t>http://healthindicators.gov/Indicators/High-blood-pressure-percent_123/National_0/Profile/Dat</w:t>
      </w:r>
      <w:r w:rsidRPr="00E058F0">
        <w:rPr>
          <w:i/>
          <w:sz w:val="16"/>
          <w:szCs w:val="16"/>
          <w:lang w:val="en-US"/>
        </w:rPr>
        <w:t>a</w:t>
      </w:r>
      <w:r>
        <w:rPr>
          <w:sz w:val="16"/>
          <w:szCs w:val="16"/>
          <w:lang w:val="en-US"/>
        </w:rPr>
        <w:t xml:space="preserve"> </w:t>
      </w:r>
    </w:p>
  </w:footnote>
  <w:footnote w:id="21">
    <w:p w:rsidR="00CC2BE3" w:rsidRDefault="00CC2BE3">
      <w:pPr>
        <w:pStyle w:val="FootnoteText"/>
      </w:pPr>
      <w:r w:rsidRPr="00076AE8">
        <w:rPr>
          <w:rStyle w:val="FootnoteReference"/>
          <w:sz w:val="16"/>
          <w:szCs w:val="16"/>
        </w:rPr>
        <w:footnoteRef/>
      </w:r>
      <w:r>
        <w:rPr>
          <w:sz w:val="16"/>
          <w:szCs w:val="16"/>
        </w:rPr>
        <w:t xml:space="preserve"> Adults</w:t>
      </w:r>
      <w:r w:rsidRPr="000D219D">
        <w:rPr>
          <w:sz w:val="16"/>
          <w:szCs w:val="16"/>
        </w:rPr>
        <w:t>18 years and over that report BMI &gt;= 30</w:t>
      </w:r>
      <w:r w:rsidRPr="00076AE8">
        <w:rPr>
          <w:color w:val="000000"/>
          <w:sz w:val="16"/>
          <w:szCs w:val="16"/>
        </w:rPr>
        <w:t xml:space="preserve">. </w:t>
      </w:r>
      <w:r>
        <w:rPr>
          <w:rStyle w:val="SubtleReference1"/>
          <w:rFonts w:ascii="Cambria" w:hAnsi="Cambria"/>
          <w:iCs/>
          <w:sz w:val="16"/>
          <w:szCs w:val="16"/>
        </w:rPr>
        <w:t xml:space="preserve">Source: </w:t>
      </w:r>
      <w:r w:rsidRPr="00E058F0">
        <w:rPr>
          <w:i/>
          <w:sz w:val="16"/>
          <w:szCs w:val="16"/>
        </w:rPr>
        <w:t>http://healthindicators.gov/Indicators/Obesity-adult-percent_15/National_0/Profile/Data</w:t>
      </w:r>
      <w:r w:rsidRPr="00076AE8">
        <w:rPr>
          <w:rStyle w:val="SubtleReference1"/>
          <w:rFonts w:ascii="Cambria" w:hAnsi="Cambria"/>
          <w:iCs/>
          <w:sz w:val="16"/>
          <w:szCs w:val="16"/>
        </w:rPr>
        <w:t>.</w:t>
      </w:r>
    </w:p>
  </w:footnote>
  <w:footnote w:id="22">
    <w:p w:rsidR="00CC2BE3" w:rsidRDefault="00CC2BE3">
      <w:pPr>
        <w:pStyle w:val="FootnoteText"/>
      </w:pPr>
      <w:r w:rsidRPr="00076AE8">
        <w:rPr>
          <w:rStyle w:val="FootnoteReference"/>
          <w:sz w:val="16"/>
          <w:szCs w:val="16"/>
        </w:rPr>
        <w:footnoteRef/>
      </w:r>
      <w:r w:rsidRPr="00076AE8">
        <w:rPr>
          <w:sz w:val="16"/>
          <w:szCs w:val="16"/>
        </w:rPr>
        <w:t xml:space="preserve"> </w:t>
      </w:r>
      <w:r>
        <w:rPr>
          <w:sz w:val="16"/>
          <w:szCs w:val="16"/>
          <w:lang w:val="en-US"/>
        </w:rPr>
        <w:t xml:space="preserve">Adults 18 </w:t>
      </w:r>
      <w:r w:rsidRPr="000D219D">
        <w:rPr>
          <w:sz w:val="16"/>
          <w:szCs w:val="16"/>
        </w:rPr>
        <w:t>years and over that report currently smoking cigarettes</w:t>
      </w:r>
      <w:r w:rsidRPr="00076AE8">
        <w:rPr>
          <w:color w:val="000000"/>
          <w:sz w:val="16"/>
          <w:szCs w:val="16"/>
        </w:rPr>
        <w:t xml:space="preserve">. </w:t>
      </w:r>
      <w:r w:rsidRPr="00076AE8">
        <w:rPr>
          <w:rStyle w:val="SubtleReference1"/>
          <w:rFonts w:ascii="Cambria" w:hAnsi="Cambria"/>
          <w:iCs/>
          <w:sz w:val="16"/>
          <w:szCs w:val="16"/>
        </w:rPr>
        <w:t xml:space="preserve">Source: </w:t>
      </w:r>
      <w:r w:rsidRPr="00E058F0">
        <w:rPr>
          <w:i/>
          <w:sz w:val="16"/>
          <w:szCs w:val="16"/>
        </w:rPr>
        <w:t>http://healthindicators.gov/Indicators/Smoking-adults---percent_13/National_0/Profile/Data</w:t>
      </w:r>
      <w:r w:rsidRPr="00076AE8">
        <w:rPr>
          <w:rStyle w:val="SubtleReference1"/>
          <w:rFonts w:ascii="Cambria" w:hAnsi="Cambria"/>
          <w:iCs/>
          <w:sz w:val="16"/>
          <w:szCs w:val="16"/>
        </w:rPr>
        <w:t xml:space="preserve"> </w:t>
      </w:r>
    </w:p>
  </w:footnote>
  <w:footnote w:id="23">
    <w:p w:rsidR="00CC2BE3" w:rsidRDefault="00CC2BE3">
      <w:pPr>
        <w:pStyle w:val="FootnoteText"/>
      </w:pPr>
      <w:r w:rsidRPr="00076AE8">
        <w:rPr>
          <w:rStyle w:val="FootnoteReference"/>
          <w:sz w:val="16"/>
          <w:szCs w:val="16"/>
        </w:rPr>
        <w:footnoteRef/>
      </w:r>
      <w:r w:rsidRPr="00076AE8">
        <w:rPr>
          <w:sz w:val="16"/>
          <w:szCs w:val="16"/>
        </w:rPr>
        <w:t xml:space="preserve"> </w:t>
      </w:r>
      <w:r>
        <w:rPr>
          <w:sz w:val="16"/>
          <w:szCs w:val="16"/>
          <w:lang w:val="en-US"/>
        </w:rPr>
        <w:t xml:space="preserve">Adults </w:t>
      </w:r>
      <w:r w:rsidRPr="000D219D">
        <w:rPr>
          <w:sz w:val="16"/>
          <w:szCs w:val="16"/>
        </w:rPr>
        <w:t>that report no leisure-time exercise in past month</w:t>
      </w:r>
      <w:r w:rsidRPr="00445BA2">
        <w:rPr>
          <w:sz w:val="16"/>
          <w:szCs w:val="16"/>
        </w:rPr>
        <w:t xml:space="preserve">.  </w:t>
      </w:r>
      <w:r w:rsidRPr="00076AE8">
        <w:rPr>
          <w:rStyle w:val="SubtleReference1"/>
          <w:rFonts w:ascii="Cambria" w:hAnsi="Cambria"/>
          <w:iCs/>
          <w:sz w:val="16"/>
          <w:szCs w:val="16"/>
        </w:rPr>
        <w:t xml:space="preserve"> Source: </w:t>
      </w:r>
      <w:r w:rsidRPr="00E058F0">
        <w:rPr>
          <w:i/>
          <w:sz w:val="16"/>
          <w:szCs w:val="16"/>
        </w:rPr>
        <w:t>http://healthindicators.gov/Indicators/No-exercise-percent_120/Profile</w:t>
      </w:r>
    </w:p>
  </w:footnote>
  <w:footnote w:id="24">
    <w:p w:rsidR="00CC2BE3" w:rsidRPr="00D10EEC" w:rsidRDefault="00CC2BE3">
      <w:pPr>
        <w:pStyle w:val="FootnoteText"/>
        <w:rPr>
          <w:lang w:val="en-US"/>
        </w:rPr>
      </w:pPr>
      <w:r w:rsidRPr="00076AE8">
        <w:rPr>
          <w:rStyle w:val="FootnoteReference"/>
          <w:sz w:val="16"/>
          <w:szCs w:val="16"/>
        </w:rPr>
        <w:footnoteRef/>
      </w:r>
      <w:r w:rsidRPr="00076AE8">
        <w:rPr>
          <w:sz w:val="16"/>
          <w:szCs w:val="16"/>
        </w:rPr>
        <w:t xml:space="preserve"> </w:t>
      </w:r>
      <w:r>
        <w:rPr>
          <w:sz w:val="16"/>
          <w:szCs w:val="16"/>
          <w:lang w:val="en-US"/>
        </w:rPr>
        <w:t xml:space="preserve">Adults </w:t>
      </w:r>
      <w:r w:rsidRPr="000D219D">
        <w:rPr>
          <w:sz w:val="16"/>
          <w:szCs w:val="16"/>
        </w:rPr>
        <w:t>that report excessive drinking</w:t>
      </w:r>
      <w:r w:rsidRPr="00076AE8">
        <w:rPr>
          <w:color w:val="000000"/>
          <w:sz w:val="16"/>
          <w:szCs w:val="16"/>
        </w:rPr>
        <w:t xml:space="preserve"> </w:t>
      </w:r>
      <w:r w:rsidRPr="00076AE8">
        <w:rPr>
          <w:rStyle w:val="SubtleReference1"/>
          <w:rFonts w:ascii="Cambria" w:hAnsi="Cambria"/>
          <w:iCs/>
          <w:sz w:val="16"/>
          <w:szCs w:val="16"/>
        </w:rPr>
        <w:t xml:space="preserve">Source: </w:t>
      </w:r>
      <w:r w:rsidRPr="00E058F0">
        <w:rPr>
          <w:i/>
          <w:sz w:val="16"/>
          <w:szCs w:val="16"/>
        </w:rPr>
        <w:t>http://healthindicators.gov/Indicators/Alcohol-Excessive-drinking-percent_150/Profile</w:t>
      </w:r>
    </w:p>
  </w:footnote>
  <w:footnote w:id="25">
    <w:p w:rsidR="00CC2BE3" w:rsidRDefault="00CC2BE3">
      <w:pPr>
        <w:pStyle w:val="FootnoteText"/>
      </w:pPr>
      <w:r w:rsidRPr="00632377">
        <w:rPr>
          <w:rStyle w:val="FootnoteReference"/>
          <w:sz w:val="16"/>
          <w:szCs w:val="16"/>
        </w:rPr>
        <w:footnoteRef/>
      </w:r>
      <w:r w:rsidRPr="00632377">
        <w:rPr>
          <w:sz w:val="16"/>
          <w:szCs w:val="16"/>
        </w:rPr>
        <w:t xml:space="preserve"> </w:t>
      </w:r>
      <w:r w:rsidRPr="00632377">
        <w:rPr>
          <w:rFonts w:cs="Arial"/>
          <w:sz w:val="16"/>
          <w:szCs w:val="16"/>
        </w:rPr>
        <w:t xml:space="preserve">Kruzikas, D. T., Jiang, H. J., Remus, D., Barrett, M., Coffey, R., &amp; Andrews, R. (2004). </w:t>
      </w:r>
      <w:r w:rsidRPr="00632377">
        <w:rPr>
          <w:rFonts w:cs="Arial"/>
          <w:i/>
          <w:iCs/>
          <w:sz w:val="16"/>
          <w:szCs w:val="16"/>
        </w:rPr>
        <w:t>Preventable hospitalizations: A window into primary and preventive care, 2000</w:t>
      </w:r>
      <w:r w:rsidRPr="00632377">
        <w:rPr>
          <w:rFonts w:cs="Arial"/>
          <w:sz w:val="16"/>
          <w:szCs w:val="16"/>
        </w:rPr>
        <w:t>. Rockville, MD: U.S. Department of Health and Human Services, Agency for Healthcare Research and Quality.</w:t>
      </w:r>
    </w:p>
  </w:footnote>
  <w:footnote w:id="26">
    <w:p w:rsidR="00CC2BE3" w:rsidRDefault="00CC2BE3" w:rsidP="00BF5653">
      <w:r w:rsidRPr="00632377">
        <w:rPr>
          <w:rStyle w:val="FootnoteReference"/>
          <w:sz w:val="16"/>
          <w:szCs w:val="16"/>
        </w:rPr>
        <w:footnoteRef/>
      </w:r>
      <w:r w:rsidRPr="00632377">
        <w:rPr>
          <w:sz w:val="16"/>
          <w:szCs w:val="16"/>
        </w:rPr>
        <w:t xml:space="preserve"> </w:t>
      </w:r>
      <w:r w:rsidRPr="00632377">
        <w:rPr>
          <w:rStyle w:val="SubtleReference1"/>
          <w:rFonts w:ascii="Cambria" w:hAnsi="Cambria"/>
          <w:i w:val="0"/>
          <w:iCs/>
          <w:sz w:val="16"/>
          <w:szCs w:val="16"/>
        </w:rPr>
        <w:t xml:space="preserve">Assessing the Health of Our Communities. Missouri Hospital Association, 2010. </w:t>
      </w:r>
    </w:p>
  </w:footnote>
  <w:footnote w:id="27">
    <w:p w:rsidR="00CC2BE3" w:rsidRDefault="00CC2BE3" w:rsidP="000C1B36">
      <w:pPr>
        <w:spacing w:line="240" w:lineRule="auto"/>
        <w:contextualSpacing/>
      </w:pPr>
      <w:r w:rsidRPr="00895EF7">
        <w:rPr>
          <w:rStyle w:val="FootnoteReference"/>
          <w:sz w:val="20"/>
          <w:szCs w:val="20"/>
        </w:rPr>
        <w:footnoteRef/>
      </w:r>
      <w:r w:rsidRPr="00895EF7">
        <w:rPr>
          <w:sz w:val="20"/>
          <w:szCs w:val="20"/>
        </w:rPr>
        <w:t xml:space="preserve"> </w:t>
      </w:r>
      <w:r w:rsidRPr="008D58D1">
        <w:rPr>
          <w:sz w:val="20"/>
          <w:szCs w:val="20"/>
        </w:rPr>
        <w:t>Heal</w:t>
      </w:r>
      <w:r>
        <w:rPr>
          <w:sz w:val="20"/>
          <w:szCs w:val="20"/>
        </w:rPr>
        <w:t>th Factors and outcomes include</w:t>
      </w:r>
      <w:r>
        <w:rPr>
          <w:color w:val="FF0000"/>
          <w:sz w:val="20"/>
          <w:szCs w:val="20"/>
        </w:rPr>
        <w:t>;</w:t>
      </w:r>
      <w:r w:rsidRPr="008D58D1">
        <w:rPr>
          <w:sz w:val="20"/>
          <w:szCs w:val="20"/>
        </w:rPr>
        <w:t xml:space="preserve"> low birth weight, diet and exercise, and family and social support.</w:t>
      </w:r>
      <w:r w:rsidRPr="008D58D1">
        <w:rPr>
          <w:sz w:val="20"/>
          <w:szCs w:val="20"/>
        </w:rPr>
        <w:br/>
      </w:r>
      <w:r w:rsidRPr="008D58D1">
        <w:rPr>
          <w:i/>
          <w:sz w:val="20"/>
          <w:szCs w:val="20"/>
        </w:rPr>
        <w:t xml:space="preserve">Source: </w:t>
      </w:r>
      <w:r w:rsidRPr="008D58D1">
        <w:rPr>
          <w:sz w:val="20"/>
          <w:szCs w:val="20"/>
          <w:u w:val="single"/>
        </w:rPr>
        <w:t>http://www.countyhealthrankings.org/health-factors/community-safety</w:t>
      </w:r>
    </w:p>
  </w:footnote>
  <w:footnote w:id="28">
    <w:p w:rsidR="00CC2BE3" w:rsidRPr="008D58D1" w:rsidRDefault="00CC2BE3" w:rsidP="000C1B36">
      <w:pPr>
        <w:spacing w:line="240" w:lineRule="auto"/>
        <w:contextualSpacing/>
        <w:rPr>
          <w:sz w:val="20"/>
          <w:szCs w:val="20"/>
          <w:u w:val="single"/>
        </w:rPr>
      </w:pPr>
      <w:r w:rsidRPr="00895EF7">
        <w:rPr>
          <w:rStyle w:val="FootnoteReference"/>
          <w:sz w:val="20"/>
          <w:szCs w:val="20"/>
        </w:rPr>
        <w:footnoteRef/>
      </w:r>
      <w:r w:rsidRPr="00895EF7">
        <w:rPr>
          <w:sz w:val="20"/>
          <w:szCs w:val="20"/>
        </w:rPr>
        <w:t xml:space="preserve"> </w:t>
      </w:r>
      <w:r w:rsidRPr="008D58D1">
        <w:rPr>
          <w:i/>
          <w:sz w:val="20"/>
          <w:szCs w:val="20"/>
        </w:rPr>
        <w:t xml:space="preserve">Source: </w:t>
      </w:r>
      <w:r w:rsidRPr="008D58D1">
        <w:rPr>
          <w:sz w:val="20"/>
          <w:szCs w:val="20"/>
          <w:u w:val="single"/>
        </w:rPr>
        <w:t>http://www.countyhealthrankings.org/health-factors/community-safety</w:t>
      </w:r>
    </w:p>
    <w:p w:rsidR="00CC2BE3" w:rsidRDefault="00CC2BE3" w:rsidP="000C1B36">
      <w:pPr>
        <w:spacing w:line="240" w:lineRule="auto"/>
      </w:pPr>
    </w:p>
  </w:footnote>
  <w:footnote w:id="29">
    <w:p w:rsidR="00CC2BE3" w:rsidRDefault="00CC2BE3" w:rsidP="00BF5653">
      <w:pPr>
        <w:pStyle w:val="FootnoteText"/>
      </w:pPr>
      <w:r>
        <w:rPr>
          <w:rStyle w:val="FootnoteReference"/>
        </w:rPr>
        <w:footnoteRef/>
      </w:r>
      <w:r>
        <w:t xml:space="preserve"> Number of days in 200</w:t>
      </w:r>
      <w:r>
        <w:rPr>
          <w:lang w:val="en-US"/>
        </w:rPr>
        <w:t>7</w:t>
      </w:r>
      <w:r>
        <w:t xml:space="preserve"> that air quality was unhealthy due to ozone.</w:t>
      </w:r>
    </w:p>
    <w:p w:rsidR="00CC2BE3" w:rsidRDefault="00CC2BE3" w:rsidP="00BF5653">
      <w:pPr>
        <w:pStyle w:val="FootnoteText"/>
      </w:pPr>
      <w:r>
        <w:rPr>
          <w:i/>
        </w:rPr>
        <w:t xml:space="preserve">Source: </w:t>
      </w:r>
      <w:r w:rsidRPr="00B33DBA">
        <w:rPr>
          <w:u w:val="single"/>
        </w:rPr>
        <w:t>http://www.countyhealthr</w:t>
      </w:r>
      <w:r>
        <w:rPr>
          <w:u w:val="single"/>
        </w:rPr>
        <w:t>ankings.org/</w:t>
      </w:r>
      <w:r>
        <w:rPr>
          <w:u w:val="single"/>
          <w:lang w:val="en-US"/>
        </w:rPr>
        <w:t>missouri</w:t>
      </w:r>
      <w:r>
        <w:rPr>
          <w:u w:val="single"/>
        </w:rPr>
        <w:t>/l</w:t>
      </w:r>
      <w:r>
        <w:rPr>
          <w:u w:val="single"/>
          <w:lang w:val="en-US"/>
        </w:rPr>
        <w:t>inn</w:t>
      </w:r>
      <w:r w:rsidRPr="00B33DBA">
        <w:rPr>
          <w:u w:val="single"/>
        </w:rPr>
        <w:t>/29</w:t>
      </w:r>
    </w:p>
  </w:footnote>
  <w:footnote w:id="30">
    <w:p w:rsidR="00CC2BE3" w:rsidRDefault="00CC2BE3" w:rsidP="00BF5653">
      <w:pPr>
        <w:pStyle w:val="FootnoteText"/>
      </w:pPr>
      <w:r>
        <w:rPr>
          <w:rStyle w:val="FootnoteReference"/>
        </w:rPr>
        <w:footnoteRef/>
      </w:r>
      <w:r>
        <w:t xml:space="preserve"> Access to healthy foods is measured as the percent of zip codes in a county with a healthy food outlet. </w:t>
      </w:r>
    </w:p>
    <w:p w:rsidR="00CC2BE3" w:rsidRDefault="00CC2BE3" w:rsidP="00BF5653">
      <w:pPr>
        <w:pStyle w:val="FootnoteText"/>
      </w:pPr>
      <w:r>
        <w:rPr>
          <w:i/>
        </w:rPr>
        <w:t>Source:</w:t>
      </w:r>
      <w:r w:rsidRPr="00B33DBA">
        <w:t xml:space="preserve"> </w:t>
      </w:r>
      <w:r w:rsidRPr="00B33DBA">
        <w:rPr>
          <w:u w:val="single"/>
        </w:rPr>
        <w:t>http://www</w:t>
      </w:r>
      <w:r>
        <w:rPr>
          <w:u w:val="single"/>
        </w:rPr>
        <w:t>.countyhealthrankings.org/</w:t>
      </w:r>
      <w:r>
        <w:rPr>
          <w:u w:val="single"/>
          <w:lang w:val="en-US"/>
        </w:rPr>
        <w:t>missouri</w:t>
      </w:r>
      <w:r>
        <w:rPr>
          <w:u w:val="single"/>
        </w:rPr>
        <w:t>/</w:t>
      </w:r>
      <w:r>
        <w:rPr>
          <w:u w:val="single"/>
          <w:lang w:val="en-US"/>
        </w:rPr>
        <w:t>linn</w:t>
      </w:r>
      <w:r w:rsidRPr="00B33DBA">
        <w:rPr>
          <w:u w:val="single"/>
        </w:rPr>
        <w:t>/30</w:t>
      </w:r>
    </w:p>
  </w:footnote>
  <w:footnote w:id="31">
    <w:p w:rsidR="00CC2BE3" w:rsidRDefault="00CC2BE3" w:rsidP="00BF5653">
      <w:pPr>
        <w:pStyle w:val="FootnoteText"/>
      </w:pPr>
      <w:r>
        <w:rPr>
          <w:rStyle w:val="FootnoteReference"/>
        </w:rPr>
        <w:footnoteRef/>
      </w:r>
      <w:r>
        <w:t xml:space="preserve"> Number of recreational facilities per 100,000 population in a given county</w:t>
      </w:r>
    </w:p>
    <w:p w:rsidR="00CC2BE3" w:rsidRDefault="00CC2BE3" w:rsidP="00BF5653">
      <w:pPr>
        <w:pStyle w:val="FootnoteText"/>
      </w:pPr>
      <w:r>
        <w:rPr>
          <w:i/>
        </w:rPr>
        <w:t>Source</w:t>
      </w:r>
      <w:r w:rsidRPr="00B33DBA">
        <w:t xml:space="preserve">: </w:t>
      </w:r>
      <w:r w:rsidRPr="00B33DBA">
        <w:rPr>
          <w:u w:val="single"/>
        </w:rPr>
        <w:t>http://www</w:t>
      </w:r>
      <w:r>
        <w:rPr>
          <w:u w:val="single"/>
        </w:rPr>
        <w:t>.countyhealthrankings.org/</w:t>
      </w:r>
      <w:r>
        <w:rPr>
          <w:u w:val="single"/>
          <w:lang w:val="en-US"/>
        </w:rPr>
        <w:t>missouri</w:t>
      </w:r>
      <w:r>
        <w:rPr>
          <w:u w:val="single"/>
        </w:rPr>
        <w:t>/</w:t>
      </w:r>
      <w:r>
        <w:rPr>
          <w:u w:val="single"/>
          <w:lang w:val="en-US"/>
        </w:rPr>
        <w:t>linn</w:t>
      </w:r>
      <w:r w:rsidRPr="00B33DBA">
        <w:rPr>
          <w:u w:val="single"/>
        </w:rPr>
        <w:t>/68</w:t>
      </w:r>
    </w:p>
  </w:footnote>
  <w:footnote w:id="32">
    <w:p w:rsidR="00CC2BE3" w:rsidRDefault="00CC2BE3" w:rsidP="004D1CB4">
      <w:pPr>
        <w:pStyle w:val="FootnoteText"/>
      </w:pPr>
      <w:r>
        <w:rPr>
          <w:rStyle w:val="FootnoteReference"/>
        </w:rPr>
        <w:footnoteRef/>
      </w:r>
      <w:r>
        <w:t xml:space="preserve"> </w:t>
      </w:r>
      <w:r>
        <w:rPr>
          <w:i/>
        </w:rPr>
        <w:t xml:space="preserve">Source: </w:t>
      </w:r>
      <w:r w:rsidRPr="00490997">
        <w:rPr>
          <w:u w:val="single"/>
        </w:rPr>
        <w:t>http://www.countyhealthrankings.org/health-factors/built-environment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0AF0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8A591C"/>
    <w:multiLevelType w:val="hybridMultilevel"/>
    <w:tmpl w:val="860E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B6277"/>
    <w:multiLevelType w:val="hybridMultilevel"/>
    <w:tmpl w:val="791C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025EE"/>
    <w:multiLevelType w:val="hybridMultilevel"/>
    <w:tmpl w:val="7DFEDCF4"/>
    <w:lvl w:ilvl="0" w:tplc="EB769618">
      <w:start w:val="1"/>
      <w:numFmt w:val="upp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E67EB8"/>
    <w:multiLevelType w:val="hybridMultilevel"/>
    <w:tmpl w:val="44E2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058C3"/>
    <w:multiLevelType w:val="hybridMultilevel"/>
    <w:tmpl w:val="14DE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A5D86"/>
    <w:multiLevelType w:val="hybridMultilevel"/>
    <w:tmpl w:val="6422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76E91"/>
    <w:multiLevelType w:val="hybridMultilevel"/>
    <w:tmpl w:val="7DB64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4A3AAF"/>
    <w:multiLevelType w:val="hybridMultilevel"/>
    <w:tmpl w:val="B04274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74791C"/>
    <w:multiLevelType w:val="hybridMultilevel"/>
    <w:tmpl w:val="DA9E956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449C5AF5"/>
    <w:multiLevelType w:val="hybridMultilevel"/>
    <w:tmpl w:val="37202D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461BC7"/>
    <w:multiLevelType w:val="hybridMultilevel"/>
    <w:tmpl w:val="82823B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C74F28"/>
    <w:multiLevelType w:val="hybridMultilevel"/>
    <w:tmpl w:val="C65079F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3">
    <w:nsid w:val="4A0727B7"/>
    <w:multiLevelType w:val="hybridMultilevel"/>
    <w:tmpl w:val="84BEE3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253F1D"/>
    <w:multiLevelType w:val="hybridMultilevel"/>
    <w:tmpl w:val="7226A1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E901E7"/>
    <w:multiLevelType w:val="hybridMultilevel"/>
    <w:tmpl w:val="399A58B6"/>
    <w:lvl w:ilvl="0" w:tplc="904E9518">
      <w:start w:val="1"/>
      <w:numFmt w:val="upp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DB13EFD"/>
    <w:multiLevelType w:val="hybridMultilevel"/>
    <w:tmpl w:val="B4666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F1C"/>
    <w:multiLevelType w:val="hybridMultilevel"/>
    <w:tmpl w:val="99920AEC"/>
    <w:lvl w:ilvl="0" w:tplc="7B3621E4">
      <w:start w:val="1"/>
      <w:numFmt w:val="upperRoman"/>
      <w:lvlText w:val="%1."/>
      <w:lvlJc w:val="left"/>
      <w:pPr>
        <w:ind w:left="1800" w:hanging="72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5173630C"/>
    <w:multiLevelType w:val="hybridMultilevel"/>
    <w:tmpl w:val="8A10EC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E861B8"/>
    <w:multiLevelType w:val="hybridMultilevel"/>
    <w:tmpl w:val="327A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B4EF1"/>
    <w:multiLevelType w:val="hybridMultilevel"/>
    <w:tmpl w:val="665EBC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A744A2"/>
    <w:multiLevelType w:val="hybridMultilevel"/>
    <w:tmpl w:val="721C21D6"/>
    <w:lvl w:ilvl="0" w:tplc="245AFA0E">
      <w:start w:val="1"/>
      <w:numFmt w:val="upp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33421D"/>
    <w:multiLevelType w:val="hybridMultilevel"/>
    <w:tmpl w:val="45D0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8795D"/>
    <w:multiLevelType w:val="hybridMultilevel"/>
    <w:tmpl w:val="92402EC0"/>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4">
    <w:nsid w:val="62AD5520"/>
    <w:multiLevelType w:val="hybridMultilevel"/>
    <w:tmpl w:val="84BEE3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4ED2D79"/>
    <w:multiLevelType w:val="hybridMultilevel"/>
    <w:tmpl w:val="6478ADF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EF6D1D"/>
    <w:multiLevelType w:val="hybridMultilevel"/>
    <w:tmpl w:val="1AE637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E65D4D"/>
    <w:multiLevelType w:val="hybridMultilevel"/>
    <w:tmpl w:val="34E4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2E26AD"/>
    <w:multiLevelType w:val="hybridMultilevel"/>
    <w:tmpl w:val="D7E85C7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nsid w:val="6D146F3D"/>
    <w:multiLevelType w:val="hybridMultilevel"/>
    <w:tmpl w:val="AA867566"/>
    <w:lvl w:ilvl="0" w:tplc="6C2899E6">
      <w:start w:val="1"/>
      <w:numFmt w:val="upp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E9F11F7"/>
    <w:multiLevelType w:val="hybridMultilevel"/>
    <w:tmpl w:val="F4F4FD10"/>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1">
    <w:nsid w:val="77B07722"/>
    <w:multiLevelType w:val="hybridMultilevel"/>
    <w:tmpl w:val="2510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614B1D"/>
    <w:multiLevelType w:val="hybridMultilevel"/>
    <w:tmpl w:val="A666324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3">
    <w:nsid w:val="7F926742"/>
    <w:multiLevelType w:val="hybridMultilevel"/>
    <w:tmpl w:val="FB0CA5D0"/>
    <w:lvl w:ilvl="0" w:tplc="E4E48F60">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31"/>
  </w:num>
  <w:num w:numId="4">
    <w:abstractNumId w:val="13"/>
  </w:num>
  <w:num w:numId="5">
    <w:abstractNumId w:val="21"/>
  </w:num>
  <w:num w:numId="6">
    <w:abstractNumId w:val="17"/>
  </w:num>
  <w:num w:numId="7">
    <w:abstractNumId w:val="15"/>
  </w:num>
  <w:num w:numId="8">
    <w:abstractNumId w:val="29"/>
  </w:num>
  <w:num w:numId="9">
    <w:abstractNumId w:val="3"/>
  </w:num>
  <w:num w:numId="10">
    <w:abstractNumId w:val="0"/>
  </w:num>
  <w:num w:numId="11">
    <w:abstractNumId w:val="9"/>
  </w:num>
  <w:num w:numId="12">
    <w:abstractNumId w:val="22"/>
  </w:num>
  <w:num w:numId="13">
    <w:abstractNumId w:val="6"/>
  </w:num>
  <w:num w:numId="14">
    <w:abstractNumId w:val="19"/>
  </w:num>
  <w:num w:numId="15">
    <w:abstractNumId w:val="24"/>
  </w:num>
  <w:num w:numId="16">
    <w:abstractNumId w:val="33"/>
  </w:num>
  <w:num w:numId="17">
    <w:abstractNumId w:val="26"/>
  </w:num>
  <w:num w:numId="18">
    <w:abstractNumId w:val="20"/>
  </w:num>
  <w:num w:numId="19">
    <w:abstractNumId w:val="11"/>
  </w:num>
  <w:num w:numId="20">
    <w:abstractNumId w:val="25"/>
  </w:num>
  <w:num w:numId="21">
    <w:abstractNumId w:val="7"/>
  </w:num>
  <w:num w:numId="22">
    <w:abstractNumId w:val="8"/>
  </w:num>
  <w:num w:numId="23">
    <w:abstractNumId w:val="14"/>
  </w:num>
  <w:num w:numId="24">
    <w:abstractNumId w:val="18"/>
  </w:num>
  <w:num w:numId="25">
    <w:abstractNumId w:val="10"/>
  </w:num>
  <w:num w:numId="26">
    <w:abstractNumId w:val="16"/>
  </w:num>
  <w:num w:numId="27">
    <w:abstractNumId w:val="28"/>
  </w:num>
  <w:num w:numId="28">
    <w:abstractNumId w:val="12"/>
  </w:num>
  <w:num w:numId="29">
    <w:abstractNumId w:val="23"/>
  </w:num>
  <w:num w:numId="30">
    <w:abstractNumId w:val="30"/>
  </w:num>
  <w:num w:numId="31">
    <w:abstractNumId w:val="5"/>
  </w:num>
  <w:num w:numId="32">
    <w:abstractNumId w:val="2"/>
  </w:num>
  <w:num w:numId="33">
    <w:abstractNumId w:val="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wss5zv5u0x5fpewfssvvsdizdpawsa9dx0z&quot;&gt;My EndNote Library&lt;record-ids&gt;&lt;item&gt;529&lt;/item&gt;&lt;/record-ids&gt;&lt;/item&gt;&lt;/Libraries&gt;"/>
  </w:docVars>
  <w:rsids>
    <w:rsidRoot w:val="009A1F69"/>
    <w:rsid w:val="000006A6"/>
    <w:rsid w:val="00001C18"/>
    <w:rsid w:val="00021BC8"/>
    <w:rsid w:val="00024CC1"/>
    <w:rsid w:val="00030980"/>
    <w:rsid w:val="00031319"/>
    <w:rsid w:val="00041456"/>
    <w:rsid w:val="00041F8E"/>
    <w:rsid w:val="0004369B"/>
    <w:rsid w:val="0004750E"/>
    <w:rsid w:val="0005400E"/>
    <w:rsid w:val="00055DFB"/>
    <w:rsid w:val="00060E38"/>
    <w:rsid w:val="000678D8"/>
    <w:rsid w:val="00073446"/>
    <w:rsid w:val="000754D6"/>
    <w:rsid w:val="00077A58"/>
    <w:rsid w:val="00081A8F"/>
    <w:rsid w:val="00087234"/>
    <w:rsid w:val="000A3F8F"/>
    <w:rsid w:val="000A7C3A"/>
    <w:rsid w:val="000B7939"/>
    <w:rsid w:val="000C011C"/>
    <w:rsid w:val="000C1B36"/>
    <w:rsid w:val="000C6608"/>
    <w:rsid w:val="000C681F"/>
    <w:rsid w:val="000D3324"/>
    <w:rsid w:val="000D4767"/>
    <w:rsid w:val="000E09B8"/>
    <w:rsid w:val="000E3FEF"/>
    <w:rsid w:val="001006B8"/>
    <w:rsid w:val="00100D48"/>
    <w:rsid w:val="00101230"/>
    <w:rsid w:val="00101749"/>
    <w:rsid w:val="00102647"/>
    <w:rsid w:val="00111171"/>
    <w:rsid w:val="00112AA8"/>
    <w:rsid w:val="00114006"/>
    <w:rsid w:val="001149A7"/>
    <w:rsid w:val="00115091"/>
    <w:rsid w:val="00117622"/>
    <w:rsid w:val="0012127F"/>
    <w:rsid w:val="001263D0"/>
    <w:rsid w:val="001378B2"/>
    <w:rsid w:val="00137A96"/>
    <w:rsid w:val="00137FA2"/>
    <w:rsid w:val="001401EC"/>
    <w:rsid w:val="00147875"/>
    <w:rsid w:val="00164676"/>
    <w:rsid w:val="00170F1A"/>
    <w:rsid w:val="00183184"/>
    <w:rsid w:val="001844DB"/>
    <w:rsid w:val="00193855"/>
    <w:rsid w:val="0019452A"/>
    <w:rsid w:val="001A0D86"/>
    <w:rsid w:val="001A3C39"/>
    <w:rsid w:val="001B1F4D"/>
    <w:rsid w:val="001B1FE6"/>
    <w:rsid w:val="001B288D"/>
    <w:rsid w:val="001B40A2"/>
    <w:rsid w:val="001B7A60"/>
    <w:rsid w:val="001C004F"/>
    <w:rsid w:val="001E5711"/>
    <w:rsid w:val="001F3554"/>
    <w:rsid w:val="001F39BD"/>
    <w:rsid w:val="001F4038"/>
    <w:rsid w:val="001F6BD3"/>
    <w:rsid w:val="001F7D3D"/>
    <w:rsid w:val="00201454"/>
    <w:rsid w:val="00201EE4"/>
    <w:rsid w:val="00203855"/>
    <w:rsid w:val="00216632"/>
    <w:rsid w:val="0024268C"/>
    <w:rsid w:val="00245211"/>
    <w:rsid w:val="00253C29"/>
    <w:rsid w:val="0027735D"/>
    <w:rsid w:val="002773AA"/>
    <w:rsid w:val="00296916"/>
    <w:rsid w:val="002A0564"/>
    <w:rsid w:val="002B0BFF"/>
    <w:rsid w:val="002B1024"/>
    <w:rsid w:val="002B1BA3"/>
    <w:rsid w:val="002B209C"/>
    <w:rsid w:val="002C66CD"/>
    <w:rsid w:val="002C76AA"/>
    <w:rsid w:val="002D625A"/>
    <w:rsid w:val="002F0E46"/>
    <w:rsid w:val="002F1058"/>
    <w:rsid w:val="002F2F5D"/>
    <w:rsid w:val="00302058"/>
    <w:rsid w:val="00302190"/>
    <w:rsid w:val="003043AE"/>
    <w:rsid w:val="00324BDB"/>
    <w:rsid w:val="00325FB8"/>
    <w:rsid w:val="0032653A"/>
    <w:rsid w:val="003313A3"/>
    <w:rsid w:val="003408B0"/>
    <w:rsid w:val="003432AB"/>
    <w:rsid w:val="003447C7"/>
    <w:rsid w:val="00352D36"/>
    <w:rsid w:val="0035345F"/>
    <w:rsid w:val="0035355E"/>
    <w:rsid w:val="003568A3"/>
    <w:rsid w:val="003569ED"/>
    <w:rsid w:val="00363EBC"/>
    <w:rsid w:val="0037162B"/>
    <w:rsid w:val="0037480F"/>
    <w:rsid w:val="00374BDE"/>
    <w:rsid w:val="00377925"/>
    <w:rsid w:val="00391467"/>
    <w:rsid w:val="003929DB"/>
    <w:rsid w:val="00396F59"/>
    <w:rsid w:val="003974B7"/>
    <w:rsid w:val="003A3D8E"/>
    <w:rsid w:val="003A5656"/>
    <w:rsid w:val="003B2FD4"/>
    <w:rsid w:val="003B3D1B"/>
    <w:rsid w:val="003C240D"/>
    <w:rsid w:val="003D1CED"/>
    <w:rsid w:val="003E0EA0"/>
    <w:rsid w:val="003E3E82"/>
    <w:rsid w:val="003E4F98"/>
    <w:rsid w:val="003F3DAE"/>
    <w:rsid w:val="004026F9"/>
    <w:rsid w:val="00415BCF"/>
    <w:rsid w:val="00416FD8"/>
    <w:rsid w:val="00421B74"/>
    <w:rsid w:val="004231B3"/>
    <w:rsid w:val="0042548B"/>
    <w:rsid w:val="00425906"/>
    <w:rsid w:val="00426A4F"/>
    <w:rsid w:val="00431A53"/>
    <w:rsid w:val="00431AA3"/>
    <w:rsid w:val="00431C55"/>
    <w:rsid w:val="00432006"/>
    <w:rsid w:val="00435D68"/>
    <w:rsid w:val="0043672E"/>
    <w:rsid w:val="0043792D"/>
    <w:rsid w:val="004404CF"/>
    <w:rsid w:val="00443826"/>
    <w:rsid w:val="0045054C"/>
    <w:rsid w:val="00463B4B"/>
    <w:rsid w:val="00464299"/>
    <w:rsid w:val="0046464A"/>
    <w:rsid w:val="00466DB6"/>
    <w:rsid w:val="00472B32"/>
    <w:rsid w:val="0047345C"/>
    <w:rsid w:val="0048303A"/>
    <w:rsid w:val="00484470"/>
    <w:rsid w:val="00485FC8"/>
    <w:rsid w:val="00491D59"/>
    <w:rsid w:val="00495D04"/>
    <w:rsid w:val="004A236C"/>
    <w:rsid w:val="004A4B67"/>
    <w:rsid w:val="004A50FB"/>
    <w:rsid w:val="004A607B"/>
    <w:rsid w:val="004B5374"/>
    <w:rsid w:val="004C7617"/>
    <w:rsid w:val="004D1CB4"/>
    <w:rsid w:val="004D647D"/>
    <w:rsid w:val="004E0DCC"/>
    <w:rsid w:val="004E40AF"/>
    <w:rsid w:val="004E6115"/>
    <w:rsid w:val="004E68A8"/>
    <w:rsid w:val="004E6EBE"/>
    <w:rsid w:val="004F5917"/>
    <w:rsid w:val="005122D2"/>
    <w:rsid w:val="0051238D"/>
    <w:rsid w:val="00521147"/>
    <w:rsid w:val="00522F58"/>
    <w:rsid w:val="0052615A"/>
    <w:rsid w:val="00530818"/>
    <w:rsid w:val="005310AA"/>
    <w:rsid w:val="00532278"/>
    <w:rsid w:val="00532623"/>
    <w:rsid w:val="005365B4"/>
    <w:rsid w:val="00536E5D"/>
    <w:rsid w:val="00541215"/>
    <w:rsid w:val="005427F8"/>
    <w:rsid w:val="005433FC"/>
    <w:rsid w:val="005451EB"/>
    <w:rsid w:val="00547764"/>
    <w:rsid w:val="00550595"/>
    <w:rsid w:val="005521BE"/>
    <w:rsid w:val="00564587"/>
    <w:rsid w:val="00564A34"/>
    <w:rsid w:val="00564C26"/>
    <w:rsid w:val="0056762B"/>
    <w:rsid w:val="00595FDA"/>
    <w:rsid w:val="00596B54"/>
    <w:rsid w:val="005A646F"/>
    <w:rsid w:val="005A6D88"/>
    <w:rsid w:val="005A7B34"/>
    <w:rsid w:val="005B16F7"/>
    <w:rsid w:val="005C4CF6"/>
    <w:rsid w:val="005C4EC2"/>
    <w:rsid w:val="005D00BD"/>
    <w:rsid w:val="005D1073"/>
    <w:rsid w:val="005D49F2"/>
    <w:rsid w:val="005E094E"/>
    <w:rsid w:val="005E6DC4"/>
    <w:rsid w:val="005F14EF"/>
    <w:rsid w:val="005F3983"/>
    <w:rsid w:val="00607694"/>
    <w:rsid w:val="00614523"/>
    <w:rsid w:val="00616483"/>
    <w:rsid w:val="006167D9"/>
    <w:rsid w:val="00617076"/>
    <w:rsid w:val="006259C5"/>
    <w:rsid w:val="0063406E"/>
    <w:rsid w:val="006352D6"/>
    <w:rsid w:val="006436E3"/>
    <w:rsid w:val="00646249"/>
    <w:rsid w:val="006540AF"/>
    <w:rsid w:val="00656C1F"/>
    <w:rsid w:val="00657D88"/>
    <w:rsid w:val="00662C79"/>
    <w:rsid w:val="00665128"/>
    <w:rsid w:val="00667152"/>
    <w:rsid w:val="00670C41"/>
    <w:rsid w:val="00672DE7"/>
    <w:rsid w:val="006821F6"/>
    <w:rsid w:val="00682236"/>
    <w:rsid w:val="00682932"/>
    <w:rsid w:val="00682B48"/>
    <w:rsid w:val="00683AB0"/>
    <w:rsid w:val="00686ABA"/>
    <w:rsid w:val="006B1C1D"/>
    <w:rsid w:val="006B636E"/>
    <w:rsid w:val="006B6B07"/>
    <w:rsid w:val="006B759B"/>
    <w:rsid w:val="006D10FC"/>
    <w:rsid w:val="006E0E0C"/>
    <w:rsid w:val="006E4F74"/>
    <w:rsid w:val="006E5854"/>
    <w:rsid w:val="006E713F"/>
    <w:rsid w:val="006F042F"/>
    <w:rsid w:val="006F738F"/>
    <w:rsid w:val="006F774B"/>
    <w:rsid w:val="007064EB"/>
    <w:rsid w:val="00716E73"/>
    <w:rsid w:val="007228C1"/>
    <w:rsid w:val="00723B77"/>
    <w:rsid w:val="00725BC1"/>
    <w:rsid w:val="007307D1"/>
    <w:rsid w:val="00731443"/>
    <w:rsid w:val="00734F84"/>
    <w:rsid w:val="00741223"/>
    <w:rsid w:val="007518C4"/>
    <w:rsid w:val="00753C8D"/>
    <w:rsid w:val="00754FD5"/>
    <w:rsid w:val="007550E0"/>
    <w:rsid w:val="00755578"/>
    <w:rsid w:val="007564B9"/>
    <w:rsid w:val="0076017F"/>
    <w:rsid w:val="007712A8"/>
    <w:rsid w:val="00773F4C"/>
    <w:rsid w:val="00776417"/>
    <w:rsid w:val="00786802"/>
    <w:rsid w:val="007912A6"/>
    <w:rsid w:val="00795CBA"/>
    <w:rsid w:val="0079685F"/>
    <w:rsid w:val="007B6124"/>
    <w:rsid w:val="007C1CBA"/>
    <w:rsid w:val="007C52C5"/>
    <w:rsid w:val="007C783F"/>
    <w:rsid w:val="007D2124"/>
    <w:rsid w:val="007F1CAB"/>
    <w:rsid w:val="007F5A6E"/>
    <w:rsid w:val="008005CC"/>
    <w:rsid w:val="00823BBD"/>
    <w:rsid w:val="00825AA9"/>
    <w:rsid w:val="00834925"/>
    <w:rsid w:val="0083552A"/>
    <w:rsid w:val="0084396F"/>
    <w:rsid w:val="00844A19"/>
    <w:rsid w:val="00846218"/>
    <w:rsid w:val="00857582"/>
    <w:rsid w:val="008669F5"/>
    <w:rsid w:val="008676F4"/>
    <w:rsid w:val="00872116"/>
    <w:rsid w:val="00882D7E"/>
    <w:rsid w:val="008939BA"/>
    <w:rsid w:val="0089408B"/>
    <w:rsid w:val="00897415"/>
    <w:rsid w:val="008A4CAB"/>
    <w:rsid w:val="008B0C5A"/>
    <w:rsid w:val="008B3C45"/>
    <w:rsid w:val="008B70D3"/>
    <w:rsid w:val="008C3B5C"/>
    <w:rsid w:val="008D0F58"/>
    <w:rsid w:val="008E5E8D"/>
    <w:rsid w:val="008E6A09"/>
    <w:rsid w:val="008E7766"/>
    <w:rsid w:val="008F657E"/>
    <w:rsid w:val="008F7EA4"/>
    <w:rsid w:val="00906AE9"/>
    <w:rsid w:val="00913DC9"/>
    <w:rsid w:val="009171A6"/>
    <w:rsid w:val="00925BCE"/>
    <w:rsid w:val="00930B51"/>
    <w:rsid w:val="00932050"/>
    <w:rsid w:val="0093501B"/>
    <w:rsid w:val="009420DD"/>
    <w:rsid w:val="009458F2"/>
    <w:rsid w:val="00946637"/>
    <w:rsid w:val="009501B3"/>
    <w:rsid w:val="00956018"/>
    <w:rsid w:val="00961070"/>
    <w:rsid w:val="009623B8"/>
    <w:rsid w:val="009665F7"/>
    <w:rsid w:val="00976323"/>
    <w:rsid w:val="00983F29"/>
    <w:rsid w:val="00991A36"/>
    <w:rsid w:val="0099559D"/>
    <w:rsid w:val="009958C0"/>
    <w:rsid w:val="009A38E5"/>
    <w:rsid w:val="009B6BD2"/>
    <w:rsid w:val="009C462C"/>
    <w:rsid w:val="009C53C0"/>
    <w:rsid w:val="009C7D3D"/>
    <w:rsid w:val="009E0D53"/>
    <w:rsid w:val="009E11EC"/>
    <w:rsid w:val="009E20DA"/>
    <w:rsid w:val="009E2D69"/>
    <w:rsid w:val="009E4875"/>
    <w:rsid w:val="009E5BD4"/>
    <w:rsid w:val="009F216A"/>
    <w:rsid w:val="009F6169"/>
    <w:rsid w:val="009F6550"/>
    <w:rsid w:val="00A0175D"/>
    <w:rsid w:val="00A01F79"/>
    <w:rsid w:val="00A071C1"/>
    <w:rsid w:val="00A1109F"/>
    <w:rsid w:val="00A1120B"/>
    <w:rsid w:val="00A12064"/>
    <w:rsid w:val="00A226CC"/>
    <w:rsid w:val="00A274A6"/>
    <w:rsid w:val="00A276CC"/>
    <w:rsid w:val="00A318CC"/>
    <w:rsid w:val="00A3288E"/>
    <w:rsid w:val="00A3532A"/>
    <w:rsid w:val="00A35494"/>
    <w:rsid w:val="00A5392A"/>
    <w:rsid w:val="00A61FDA"/>
    <w:rsid w:val="00A639BE"/>
    <w:rsid w:val="00A63BE1"/>
    <w:rsid w:val="00A6452C"/>
    <w:rsid w:val="00A66258"/>
    <w:rsid w:val="00A6746D"/>
    <w:rsid w:val="00A71294"/>
    <w:rsid w:val="00A82737"/>
    <w:rsid w:val="00A91843"/>
    <w:rsid w:val="00A97A97"/>
    <w:rsid w:val="00AA2EE8"/>
    <w:rsid w:val="00AA4C97"/>
    <w:rsid w:val="00AA5599"/>
    <w:rsid w:val="00AA59DD"/>
    <w:rsid w:val="00AA7A03"/>
    <w:rsid w:val="00AB0DC0"/>
    <w:rsid w:val="00AB31D8"/>
    <w:rsid w:val="00AB4570"/>
    <w:rsid w:val="00AB5D9F"/>
    <w:rsid w:val="00AC0E03"/>
    <w:rsid w:val="00AC51BF"/>
    <w:rsid w:val="00AD05BC"/>
    <w:rsid w:val="00AD7B29"/>
    <w:rsid w:val="00AE2F6E"/>
    <w:rsid w:val="00AF45FA"/>
    <w:rsid w:val="00B03A4D"/>
    <w:rsid w:val="00B063D7"/>
    <w:rsid w:val="00B07791"/>
    <w:rsid w:val="00B15BC8"/>
    <w:rsid w:val="00B25DFC"/>
    <w:rsid w:val="00B3477E"/>
    <w:rsid w:val="00B34D1C"/>
    <w:rsid w:val="00B35FA7"/>
    <w:rsid w:val="00B551D5"/>
    <w:rsid w:val="00B61B66"/>
    <w:rsid w:val="00B7184B"/>
    <w:rsid w:val="00B77DF4"/>
    <w:rsid w:val="00B77E9F"/>
    <w:rsid w:val="00B8119B"/>
    <w:rsid w:val="00B8285C"/>
    <w:rsid w:val="00B84E22"/>
    <w:rsid w:val="00B87BAB"/>
    <w:rsid w:val="00B97A21"/>
    <w:rsid w:val="00BA48D9"/>
    <w:rsid w:val="00BA552A"/>
    <w:rsid w:val="00BB38BE"/>
    <w:rsid w:val="00BC3716"/>
    <w:rsid w:val="00BD18F3"/>
    <w:rsid w:val="00BD3EF5"/>
    <w:rsid w:val="00BD5793"/>
    <w:rsid w:val="00BD5BDE"/>
    <w:rsid w:val="00BD6405"/>
    <w:rsid w:val="00BE0244"/>
    <w:rsid w:val="00BE3801"/>
    <w:rsid w:val="00BE692F"/>
    <w:rsid w:val="00BF197F"/>
    <w:rsid w:val="00BF5653"/>
    <w:rsid w:val="00C02759"/>
    <w:rsid w:val="00C05480"/>
    <w:rsid w:val="00C10C82"/>
    <w:rsid w:val="00C13F3B"/>
    <w:rsid w:val="00C174DA"/>
    <w:rsid w:val="00C217C8"/>
    <w:rsid w:val="00C278FB"/>
    <w:rsid w:val="00C31591"/>
    <w:rsid w:val="00C37450"/>
    <w:rsid w:val="00C412E2"/>
    <w:rsid w:val="00C42CA5"/>
    <w:rsid w:val="00C47EEC"/>
    <w:rsid w:val="00C51E0B"/>
    <w:rsid w:val="00C54DB9"/>
    <w:rsid w:val="00C668C2"/>
    <w:rsid w:val="00C77B62"/>
    <w:rsid w:val="00C77C71"/>
    <w:rsid w:val="00C827FC"/>
    <w:rsid w:val="00C837A1"/>
    <w:rsid w:val="00C85BBF"/>
    <w:rsid w:val="00C92194"/>
    <w:rsid w:val="00C92498"/>
    <w:rsid w:val="00C95AA7"/>
    <w:rsid w:val="00C967CD"/>
    <w:rsid w:val="00C97A34"/>
    <w:rsid w:val="00CA4245"/>
    <w:rsid w:val="00CB3218"/>
    <w:rsid w:val="00CC02DA"/>
    <w:rsid w:val="00CC2BE3"/>
    <w:rsid w:val="00CC2FEF"/>
    <w:rsid w:val="00CC34A8"/>
    <w:rsid w:val="00CC38C7"/>
    <w:rsid w:val="00CD2059"/>
    <w:rsid w:val="00CF3EAB"/>
    <w:rsid w:val="00CF5F94"/>
    <w:rsid w:val="00D0082A"/>
    <w:rsid w:val="00D0144C"/>
    <w:rsid w:val="00D10173"/>
    <w:rsid w:val="00D105B6"/>
    <w:rsid w:val="00D10EEC"/>
    <w:rsid w:val="00D1117B"/>
    <w:rsid w:val="00D160FD"/>
    <w:rsid w:val="00D1645F"/>
    <w:rsid w:val="00D2356F"/>
    <w:rsid w:val="00D2730B"/>
    <w:rsid w:val="00D32081"/>
    <w:rsid w:val="00D32F7A"/>
    <w:rsid w:val="00D3738B"/>
    <w:rsid w:val="00D37B03"/>
    <w:rsid w:val="00D37B57"/>
    <w:rsid w:val="00D51E41"/>
    <w:rsid w:val="00D57450"/>
    <w:rsid w:val="00D62195"/>
    <w:rsid w:val="00D63A79"/>
    <w:rsid w:val="00D7081F"/>
    <w:rsid w:val="00D74387"/>
    <w:rsid w:val="00D81C10"/>
    <w:rsid w:val="00D91D95"/>
    <w:rsid w:val="00DA28FD"/>
    <w:rsid w:val="00DA3D58"/>
    <w:rsid w:val="00DB0136"/>
    <w:rsid w:val="00DB27FB"/>
    <w:rsid w:val="00DB2C70"/>
    <w:rsid w:val="00DB2FEC"/>
    <w:rsid w:val="00DB3E16"/>
    <w:rsid w:val="00DB55AC"/>
    <w:rsid w:val="00DC269A"/>
    <w:rsid w:val="00DC6E1E"/>
    <w:rsid w:val="00DD1CA0"/>
    <w:rsid w:val="00DD6B5C"/>
    <w:rsid w:val="00DD6CBC"/>
    <w:rsid w:val="00DE33EC"/>
    <w:rsid w:val="00DE400C"/>
    <w:rsid w:val="00DF27DC"/>
    <w:rsid w:val="00DF6014"/>
    <w:rsid w:val="00DF7B83"/>
    <w:rsid w:val="00E00ED3"/>
    <w:rsid w:val="00E023D8"/>
    <w:rsid w:val="00E04156"/>
    <w:rsid w:val="00E05424"/>
    <w:rsid w:val="00E058F0"/>
    <w:rsid w:val="00E072B7"/>
    <w:rsid w:val="00E07596"/>
    <w:rsid w:val="00E10254"/>
    <w:rsid w:val="00E2534D"/>
    <w:rsid w:val="00E25BC2"/>
    <w:rsid w:val="00E30956"/>
    <w:rsid w:val="00E43D6C"/>
    <w:rsid w:val="00E46B27"/>
    <w:rsid w:val="00E51724"/>
    <w:rsid w:val="00E51844"/>
    <w:rsid w:val="00E5372C"/>
    <w:rsid w:val="00E6223F"/>
    <w:rsid w:val="00E872CE"/>
    <w:rsid w:val="00E95A65"/>
    <w:rsid w:val="00E975AD"/>
    <w:rsid w:val="00EA0602"/>
    <w:rsid w:val="00EA2B6D"/>
    <w:rsid w:val="00EA5F41"/>
    <w:rsid w:val="00EC00F4"/>
    <w:rsid w:val="00EC03FB"/>
    <w:rsid w:val="00EC7C15"/>
    <w:rsid w:val="00EC7C99"/>
    <w:rsid w:val="00ED0D15"/>
    <w:rsid w:val="00EE4D35"/>
    <w:rsid w:val="00EF123D"/>
    <w:rsid w:val="00EF184D"/>
    <w:rsid w:val="00EF4D17"/>
    <w:rsid w:val="00F02AB2"/>
    <w:rsid w:val="00F047C1"/>
    <w:rsid w:val="00F06F10"/>
    <w:rsid w:val="00F0757E"/>
    <w:rsid w:val="00F16EAB"/>
    <w:rsid w:val="00F17025"/>
    <w:rsid w:val="00F278B0"/>
    <w:rsid w:val="00F35077"/>
    <w:rsid w:val="00F4316C"/>
    <w:rsid w:val="00F60744"/>
    <w:rsid w:val="00F72EE6"/>
    <w:rsid w:val="00F862AF"/>
    <w:rsid w:val="00F862E1"/>
    <w:rsid w:val="00F916DD"/>
    <w:rsid w:val="00F91EC1"/>
    <w:rsid w:val="00F944FB"/>
    <w:rsid w:val="00FA1224"/>
    <w:rsid w:val="00FA23ED"/>
    <w:rsid w:val="00FA2757"/>
    <w:rsid w:val="00FA2FA0"/>
    <w:rsid w:val="00FA6584"/>
    <w:rsid w:val="00FA6FC6"/>
    <w:rsid w:val="00FB4ED3"/>
    <w:rsid w:val="00FC0970"/>
    <w:rsid w:val="00FC0EDE"/>
    <w:rsid w:val="00FC3482"/>
    <w:rsid w:val="00FC5516"/>
    <w:rsid w:val="00FD2716"/>
    <w:rsid w:val="00FD7BC5"/>
    <w:rsid w:val="00FE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2BCE"/>
    <w:pPr>
      <w:spacing w:after="200" w:line="252" w:lineRule="auto"/>
    </w:pPr>
    <w:rPr>
      <w:sz w:val="22"/>
      <w:szCs w:val="22"/>
    </w:rPr>
  </w:style>
  <w:style w:type="paragraph" w:styleId="Heading1">
    <w:name w:val="heading 1"/>
    <w:basedOn w:val="Normal"/>
    <w:next w:val="Normal"/>
    <w:link w:val="Heading1Char"/>
    <w:uiPriority w:val="99"/>
    <w:qFormat/>
    <w:rsid w:val="00502BCE"/>
    <w:pPr>
      <w:pBdr>
        <w:bottom w:val="thinThickSmallGap" w:sz="12" w:space="1" w:color="743D3D"/>
      </w:pBdr>
      <w:spacing w:before="400"/>
      <w:jc w:val="center"/>
      <w:outlineLvl w:val="0"/>
    </w:pPr>
    <w:rPr>
      <w:caps/>
      <w:color w:val="4E2929"/>
      <w:spacing w:val="20"/>
      <w:sz w:val="28"/>
      <w:szCs w:val="20"/>
      <w:lang w:val="x-none" w:eastAsia="x-none"/>
    </w:rPr>
  </w:style>
  <w:style w:type="paragraph" w:styleId="Heading2">
    <w:name w:val="heading 2"/>
    <w:basedOn w:val="Normal"/>
    <w:next w:val="Normal"/>
    <w:link w:val="Heading2Char"/>
    <w:uiPriority w:val="99"/>
    <w:qFormat/>
    <w:rsid w:val="00502BCE"/>
    <w:pPr>
      <w:pBdr>
        <w:bottom w:val="single" w:sz="4" w:space="1" w:color="4D2828"/>
      </w:pBdr>
      <w:spacing w:before="400"/>
      <w:jc w:val="center"/>
      <w:outlineLvl w:val="1"/>
    </w:pPr>
    <w:rPr>
      <w:caps/>
      <w:color w:val="4E2929"/>
      <w:spacing w:val="15"/>
      <w:sz w:val="24"/>
      <w:szCs w:val="20"/>
      <w:lang w:val="x-none" w:eastAsia="x-none"/>
    </w:rPr>
  </w:style>
  <w:style w:type="paragraph" w:styleId="Heading3">
    <w:name w:val="heading 3"/>
    <w:basedOn w:val="Normal"/>
    <w:next w:val="Normal"/>
    <w:link w:val="Heading3Char"/>
    <w:uiPriority w:val="99"/>
    <w:qFormat/>
    <w:rsid w:val="00502BCE"/>
    <w:pPr>
      <w:pBdr>
        <w:top w:val="dotted" w:sz="4" w:space="1" w:color="4D2828"/>
        <w:bottom w:val="dotted" w:sz="4" w:space="1" w:color="4D2828"/>
      </w:pBdr>
      <w:spacing w:before="300"/>
      <w:jc w:val="center"/>
      <w:outlineLvl w:val="2"/>
    </w:pPr>
    <w:rPr>
      <w:caps/>
      <w:color w:val="4D2828"/>
      <w:sz w:val="24"/>
      <w:szCs w:val="20"/>
      <w:lang w:val="x-none" w:eastAsia="x-none"/>
    </w:rPr>
  </w:style>
  <w:style w:type="paragraph" w:styleId="Heading4">
    <w:name w:val="heading 4"/>
    <w:basedOn w:val="Normal"/>
    <w:next w:val="Normal"/>
    <w:link w:val="Heading4Char"/>
    <w:uiPriority w:val="99"/>
    <w:qFormat/>
    <w:rsid w:val="00502BCE"/>
    <w:pPr>
      <w:pBdr>
        <w:bottom w:val="dotted" w:sz="4" w:space="1" w:color="743D3D"/>
      </w:pBdr>
      <w:spacing w:after="120"/>
      <w:jc w:val="center"/>
      <w:outlineLvl w:val="3"/>
    </w:pPr>
    <w:rPr>
      <w:caps/>
      <w:color w:val="4D2828"/>
      <w:spacing w:val="10"/>
      <w:sz w:val="20"/>
      <w:szCs w:val="20"/>
      <w:lang w:val="x-none" w:eastAsia="x-none"/>
    </w:rPr>
  </w:style>
  <w:style w:type="paragraph" w:styleId="Heading5">
    <w:name w:val="heading 5"/>
    <w:basedOn w:val="Normal"/>
    <w:next w:val="Normal"/>
    <w:link w:val="Heading5Char"/>
    <w:uiPriority w:val="99"/>
    <w:qFormat/>
    <w:rsid w:val="00502BCE"/>
    <w:pPr>
      <w:spacing w:before="320" w:after="120"/>
      <w:jc w:val="center"/>
      <w:outlineLvl w:val="4"/>
    </w:pPr>
    <w:rPr>
      <w:caps/>
      <w:color w:val="4D2828"/>
      <w:spacing w:val="10"/>
      <w:sz w:val="20"/>
      <w:szCs w:val="20"/>
      <w:lang w:val="x-none" w:eastAsia="x-none"/>
    </w:rPr>
  </w:style>
  <w:style w:type="paragraph" w:styleId="Heading6">
    <w:name w:val="heading 6"/>
    <w:basedOn w:val="Normal"/>
    <w:next w:val="Normal"/>
    <w:link w:val="Heading6Char"/>
    <w:uiPriority w:val="99"/>
    <w:qFormat/>
    <w:rsid w:val="00502BCE"/>
    <w:pPr>
      <w:spacing w:after="120"/>
      <w:jc w:val="center"/>
      <w:outlineLvl w:val="5"/>
    </w:pPr>
    <w:rPr>
      <w:caps/>
      <w:color w:val="743D3D"/>
      <w:spacing w:val="10"/>
      <w:sz w:val="20"/>
      <w:szCs w:val="20"/>
      <w:lang w:val="x-none" w:eastAsia="x-none"/>
    </w:rPr>
  </w:style>
  <w:style w:type="paragraph" w:styleId="Heading7">
    <w:name w:val="heading 7"/>
    <w:basedOn w:val="Normal"/>
    <w:next w:val="Normal"/>
    <w:link w:val="Heading7Char"/>
    <w:uiPriority w:val="99"/>
    <w:qFormat/>
    <w:rsid w:val="00502BCE"/>
    <w:pPr>
      <w:spacing w:after="120"/>
      <w:jc w:val="center"/>
      <w:outlineLvl w:val="6"/>
    </w:pPr>
    <w:rPr>
      <w:i/>
      <w:caps/>
      <w:color w:val="743D3D"/>
      <w:spacing w:val="10"/>
      <w:sz w:val="20"/>
      <w:szCs w:val="20"/>
      <w:lang w:val="x-none" w:eastAsia="x-none"/>
    </w:rPr>
  </w:style>
  <w:style w:type="paragraph" w:styleId="Heading8">
    <w:name w:val="heading 8"/>
    <w:basedOn w:val="Normal"/>
    <w:next w:val="Normal"/>
    <w:link w:val="Heading8Char"/>
    <w:uiPriority w:val="99"/>
    <w:qFormat/>
    <w:rsid w:val="00502BCE"/>
    <w:pPr>
      <w:spacing w:after="120"/>
      <w:jc w:val="center"/>
      <w:outlineLvl w:val="7"/>
    </w:pPr>
    <w:rPr>
      <w:caps/>
      <w:spacing w:val="10"/>
      <w:sz w:val="20"/>
      <w:szCs w:val="20"/>
      <w:lang w:val="x-none" w:eastAsia="x-none"/>
    </w:rPr>
  </w:style>
  <w:style w:type="paragraph" w:styleId="Heading9">
    <w:name w:val="heading 9"/>
    <w:basedOn w:val="Normal"/>
    <w:next w:val="Normal"/>
    <w:link w:val="Heading9Char"/>
    <w:uiPriority w:val="99"/>
    <w:qFormat/>
    <w:rsid w:val="00502BCE"/>
    <w:pPr>
      <w:spacing w:after="120"/>
      <w:jc w:val="center"/>
      <w:outlineLvl w:val="8"/>
    </w:pPr>
    <w:rPr>
      <w:i/>
      <w:caps/>
      <w:spacing w:val="1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2BCE"/>
    <w:rPr>
      <w:caps/>
      <w:color w:val="4E2929"/>
      <w:spacing w:val="20"/>
      <w:sz w:val="28"/>
    </w:rPr>
  </w:style>
  <w:style w:type="character" w:customStyle="1" w:styleId="Heading2Char">
    <w:name w:val="Heading 2 Char"/>
    <w:link w:val="Heading2"/>
    <w:uiPriority w:val="99"/>
    <w:locked/>
    <w:rsid w:val="00502BCE"/>
    <w:rPr>
      <w:caps/>
      <w:color w:val="4E2929"/>
      <w:spacing w:val="15"/>
      <w:sz w:val="24"/>
    </w:rPr>
  </w:style>
  <w:style w:type="character" w:customStyle="1" w:styleId="Heading3Char">
    <w:name w:val="Heading 3 Char"/>
    <w:link w:val="Heading3"/>
    <w:uiPriority w:val="99"/>
    <w:locked/>
    <w:rsid w:val="00502BCE"/>
    <w:rPr>
      <w:caps/>
      <w:color w:val="4D2828"/>
      <w:sz w:val="24"/>
    </w:rPr>
  </w:style>
  <w:style w:type="character" w:customStyle="1" w:styleId="Heading4Char">
    <w:name w:val="Heading 4 Char"/>
    <w:link w:val="Heading4"/>
    <w:uiPriority w:val="99"/>
    <w:locked/>
    <w:rsid w:val="00502BCE"/>
    <w:rPr>
      <w:caps/>
      <w:color w:val="4D2828"/>
      <w:spacing w:val="10"/>
    </w:rPr>
  </w:style>
  <w:style w:type="character" w:customStyle="1" w:styleId="Heading5Char">
    <w:name w:val="Heading 5 Char"/>
    <w:link w:val="Heading5"/>
    <w:uiPriority w:val="99"/>
    <w:locked/>
    <w:rsid w:val="00502BCE"/>
    <w:rPr>
      <w:caps/>
      <w:color w:val="4D2828"/>
      <w:spacing w:val="10"/>
    </w:rPr>
  </w:style>
  <w:style w:type="character" w:customStyle="1" w:styleId="Heading6Char">
    <w:name w:val="Heading 6 Char"/>
    <w:link w:val="Heading6"/>
    <w:uiPriority w:val="99"/>
    <w:locked/>
    <w:rsid w:val="00502BCE"/>
    <w:rPr>
      <w:caps/>
      <w:color w:val="743D3D"/>
      <w:spacing w:val="10"/>
    </w:rPr>
  </w:style>
  <w:style w:type="character" w:customStyle="1" w:styleId="Heading7Char">
    <w:name w:val="Heading 7 Char"/>
    <w:link w:val="Heading7"/>
    <w:uiPriority w:val="99"/>
    <w:locked/>
    <w:rsid w:val="00502BCE"/>
    <w:rPr>
      <w:i/>
      <w:caps/>
      <w:color w:val="743D3D"/>
      <w:spacing w:val="10"/>
    </w:rPr>
  </w:style>
  <w:style w:type="character" w:customStyle="1" w:styleId="Heading8Char">
    <w:name w:val="Heading 8 Char"/>
    <w:link w:val="Heading8"/>
    <w:uiPriority w:val="99"/>
    <w:locked/>
    <w:rsid w:val="00502BCE"/>
    <w:rPr>
      <w:caps/>
      <w:spacing w:val="10"/>
      <w:sz w:val="20"/>
    </w:rPr>
  </w:style>
  <w:style w:type="character" w:customStyle="1" w:styleId="Heading9Char">
    <w:name w:val="Heading 9 Char"/>
    <w:link w:val="Heading9"/>
    <w:uiPriority w:val="99"/>
    <w:semiHidden/>
    <w:locked/>
    <w:rsid w:val="00502BCE"/>
    <w:rPr>
      <w:i/>
      <w:caps/>
      <w:spacing w:val="10"/>
      <w:sz w:val="20"/>
    </w:rPr>
  </w:style>
  <w:style w:type="paragraph" w:styleId="Title">
    <w:name w:val="Title"/>
    <w:basedOn w:val="Normal"/>
    <w:next w:val="Normal"/>
    <w:link w:val="TitleChar"/>
    <w:uiPriority w:val="99"/>
    <w:qFormat/>
    <w:rsid w:val="00502BCE"/>
    <w:pPr>
      <w:pBdr>
        <w:top w:val="dotted" w:sz="2" w:space="1" w:color="4E2929"/>
        <w:bottom w:val="dotted" w:sz="2" w:space="6" w:color="4E2929"/>
      </w:pBdr>
      <w:spacing w:before="500" w:after="300" w:line="240" w:lineRule="auto"/>
      <w:jc w:val="center"/>
    </w:pPr>
    <w:rPr>
      <w:caps/>
      <w:color w:val="4E2929"/>
      <w:spacing w:val="50"/>
      <w:sz w:val="44"/>
      <w:szCs w:val="20"/>
      <w:lang w:val="x-none" w:eastAsia="x-none"/>
    </w:rPr>
  </w:style>
  <w:style w:type="character" w:customStyle="1" w:styleId="TitleChar">
    <w:name w:val="Title Char"/>
    <w:link w:val="Title"/>
    <w:uiPriority w:val="99"/>
    <w:locked/>
    <w:rsid w:val="00502BCE"/>
    <w:rPr>
      <w:caps/>
      <w:color w:val="4E2929"/>
      <w:spacing w:val="50"/>
      <w:sz w:val="44"/>
    </w:rPr>
  </w:style>
  <w:style w:type="paragraph" w:styleId="BalloonText">
    <w:name w:val="Balloon Text"/>
    <w:basedOn w:val="Normal"/>
    <w:link w:val="BalloonTextChar"/>
    <w:uiPriority w:val="99"/>
    <w:semiHidden/>
    <w:rsid w:val="00830BB4"/>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830BB4"/>
    <w:rPr>
      <w:rFonts w:ascii="Tahoma" w:hAnsi="Tahoma"/>
      <w:sz w:val="16"/>
    </w:rPr>
  </w:style>
  <w:style w:type="paragraph" w:customStyle="1" w:styleId="PersonalName">
    <w:name w:val="Personal Name"/>
    <w:basedOn w:val="Title"/>
    <w:uiPriority w:val="99"/>
    <w:rsid w:val="00830BB4"/>
    <w:rPr>
      <w:b/>
      <w:caps w:val="0"/>
      <w:color w:val="000000"/>
      <w:sz w:val="28"/>
      <w:szCs w:val="28"/>
    </w:rPr>
  </w:style>
  <w:style w:type="paragraph" w:styleId="Caption">
    <w:name w:val="caption"/>
    <w:basedOn w:val="Normal"/>
    <w:next w:val="Normal"/>
    <w:uiPriority w:val="99"/>
    <w:qFormat/>
    <w:rsid w:val="00502BCE"/>
    <w:rPr>
      <w:caps/>
      <w:spacing w:val="10"/>
      <w:sz w:val="18"/>
      <w:szCs w:val="18"/>
    </w:rPr>
  </w:style>
  <w:style w:type="paragraph" w:styleId="Subtitle">
    <w:name w:val="Subtitle"/>
    <w:basedOn w:val="Normal"/>
    <w:next w:val="Normal"/>
    <w:link w:val="SubtitleChar"/>
    <w:uiPriority w:val="99"/>
    <w:qFormat/>
    <w:rsid w:val="00502BCE"/>
    <w:pPr>
      <w:spacing w:after="560" w:line="240" w:lineRule="auto"/>
      <w:jc w:val="center"/>
    </w:pPr>
    <w:rPr>
      <w:caps/>
      <w:spacing w:val="20"/>
      <w:sz w:val="18"/>
      <w:szCs w:val="20"/>
      <w:lang w:val="x-none" w:eastAsia="x-none"/>
    </w:rPr>
  </w:style>
  <w:style w:type="character" w:customStyle="1" w:styleId="SubtitleChar">
    <w:name w:val="Subtitle Char"/>
    <w:link w:val="Subtitle"/>
    <w:uiPriority w:val="99"/>
    <w:locked/>
    <w:rsid w:val="00502BCE"/>
    <w:rPr>
      <w:caps/>
      <w:spacing w:val="20"/>
      <w:sz w:val="18"/>
    </w:rPr>
  </w:style>
  <w:style w:type="character" w:styleId="Strong">
    <w:name w:val="Strong"/>
    <w:uiPriority w:val="22"/>
    <w:qFormat/>
    <w:rsid w:val="00502BCE"/>
    <w:rPr>
      <w:rFonts w:cs="Times New Roman"/>
      <w:b/>
      <w:color w:val="743D3D"/>
      <w:spacing w:val="5"/>
    </w:rPr>
  </w:style>
  <w:style w:type="character" w:styleId="Emphasis">
    <w:name w:val="Emphasis"/>
    <w:uiPriority w:val="20"/>
    <w:qFormat/>
    <w:rsid w:val="00502BCE"/>
    <w:rPr>
      <w:rFonts w:cs="Times New Roman"/>
      <w:caps/>
      <w:spacing w:val="5"/>
      <w:sz w:val="20"/>
    </w:rPr>
  </w:style>
  <w:style w:type="paragraph" w:customStyle="1" w:styleId="NoSpacing1">
    <w:name w:val="No Spacing1"/>
    <w:basedOn w:val="Normal"/>
    <w:link w:val="NoSpacingChar"/>
    <w:uiPriority w:val="99"/>
    <w:rsid w:val="00502BCE"/>
    <w:pPr>
      <w:spacing w:after="0" w:line="240" w:lineRule="auto"/>
    </w:pPr>
    <w:rPr>
      <w:sz w:val="20"/>
      <w:szCs w:val="20"/>
    </w:rPr>
  </w:style>
  <w:style w:type="character" w:customStyle="1" w:styleId="NoSpacingChar">
    <w:name w:val="No Spacing Char"/>
    <w:link w:val="NoSpacing1"/>
    <w:uiPriority w:val="99"/>
    <w:locked/>
    <w:rsid w:val="00502BCE"/>
  </w:style>
  <w:style w:type="paragraph" w:customStyle="1" w:styleId="ColorfulList-Accent11">
    <w:name w:val="Colorful List - Accent 11"/>
    <w:basedOn w:val="Normal"/>
    <w:uiPriority w:val="99"/>
    <w:rsid w:val="00502BCE"/>
    <w:pPr>
      <w:ind w:left="720"/>
      <w:contextualSpacing/>
    </w:pPr>
  </w:style>
  <w:style w:type="paragraph" w:customStyle="1" w:styleId="ColorfulGrid-Accent11">
    <w:name w:val="Colorful Grid - Accent 11"/>
    <w:basedOn w:val="Normal"/>
    <w:next w:val="Normal"/>
    <w:link w:val="ColorfulGrid-Accent1Char"/>
    <w:uiPriority w:val="99"/>
    <w:rsid w:val="00502BCE"/>
    <w:rPr>
      <w:i/>
      <w:sz w:val="20"/>
      <w:szCs w:val="20"/>
      <w:lang w:val="x-none" w:eastAsia="x-none"/>
    </w:rPr>
  </w:style>
  <w:style w:type="character" w:customStyle="1" w:styleId="ColorfulGrid-Accent1Char">
    <w:name w:val="Colorful Grid - Accent 1 Char"/>
    <w:link w:val="ColorfulGrid-Accent11"/>
    <w:uiPriority w:val="99"/>
    <w:locked/>
    <w:rsid w:val="00502BCE"/>
    <w:rPr>
      <w:i/>
    </w:rPr>
  </w:style>
  <w:style w:type="paragraph" w:customStyle="1" w:styleId="LightShading-Accent21">
    <w:name w:val="Light Shading - Accent 21"/>
    <w:basedOn w:val="Normal"/>
    <w:next w:val="Normal"/>
    <w:link w:val="LightShading-Accent2Char"/>
    <w:uiPriority w:val="99"/>
    <w:rsid w:val="00502BCE"/>
    <w:pPr>
      <w:pBdr>
        <w:top w:val="dotted" w:sz="2" w:space="10" w:color="4E2929"/>
        <w:bottom w:val="dotted" w:sz="2" w:space="4" w:color="4E2929"/>
      </w:pBdr>
      <w:spacing w:before="160" w:line="300" w:lineRule="auto"/>
      <w:ind w:left="1440" w:right="1440"/>
    </w:pPr>
    <w:rPr>
      <w:caps/>
      <w:color w:val="4D2828"/>
      <w:spacing w:val="5"/>
      <w:sz w:val="20"/>
      <w:szCs w:val="20"/>
      <w:lang w:val="x-none" w:eastAsia="x-none"/>
    </w:rPr>
  </w:style>
  <w:style w:type="character" w:customStyle="1" w:styleId="LightShading-Accent2Char">
    <w:name w:val="Light Shading - Accent 2 Char"/>
    <w:link w:val="LightShading-Accent21"/>
    <w:uiPriority w:val="99"/>
    <w:locked/>
    <w:rsid w:val="00502BCE"/>
    <w:rPr>
      <w:caps/>
      <w:color w:val="4D2828"/>
      <w:spacing w:val="5"/>
      <w:sz w:val="20"/>
    </w:rPr>
  </w:style>
  <w:style w:type="character" w:customStyle="1" w:styleId="SubtleEmphasis1">
    <w:name w:val="Subtle Emphasis1"/>
    <w:uiPriority w:val="99"/>
    <w:rsid w:val="00502BCE"/>
    <w:rPr>
      <w:i/>
    </w:rPr>
  </w:style>
  <w:style w:type="character" w:customStyle="1" w:styleId="IntenseEmphasis1">
    <w:name w:val="Intense Emphasis1"/>
    <w:uiPriority w:val="99"/>
    <w:rsid w:val="00502BCE"/>
    <w:rPr>
      <w:i/>
      <w:caps/>
      <w:spacing w:val="10"/>
      <w:sz w:val="20"/>
    </w:rPr>
  </w:style>
  <w:style w:type="character" w:customStyle="1" w:styleId="SubtleReference1">
    <w:name w:val="Subtle Reference1"/>
    <w:uiPriority w:val="99"/>
    <w:rsid w:val="00502BCE"/>
    <w:rPr>
      <w:rFonts w:ascii="Calibri" w:hAnsi="Calibri"/>
      <w:i/>
      <w:color w:val="4D2828"/>
    </w:rPr>
  </w:style>
  <w:style w:type="character" w:customStyle="1" w:styleId="IntenseReference1">
    <w:name w:val="Intense Reference1"/>
    <w:uiPriority w:val="99"/>
    <w:rsid w:val="00502BCE"/>
    <w:rPr>
      <w:rFonts w:ascii="Calibri" w:hAnsi="Calibri"/>
      <w:b/>
      <w:i/>
      <w:color w:val="4D2828"/>
    </w:rPr>
  </w:style>
  <w:style w:type="character" w:customStyle="1" w:styleId="BookTitle1">
    <w:name w:val="Book Title1"/>
    <w:uiPriority w:val="99"/>
    <w:rsid w:val="00502BCE"/>
    <w:rPr>
      <w:caps/>
      <w:color w:val="4D2828"/>
      <w:spacing w:val="5"/>
      <w:u w:color="4D2828"/>
    </w:rPr>
  </w:style>
  <w:style w:type="paragraph" w:customStyle="1" w:styleId="TOCHeading1">
    <w:name w:val="TOC Heading1"/>
    <w:basedOn w:val="Heading1"/>
    <w:next w:val="Normal"/>
    <w:uiPriority w:val="99"/>
    <w:rsid w:val="00502BCE"/>
    <w:pPr>
      <w:outlineLvl w:val="9"/>
    </w:pPr>
  </w:style>
  <w:style w:type="character" w:styleId="Hyperlink">
    <w:name w:val="Hyperlink"/>
    <w:uiPriority w:val="99"/>
    <w:rsid w:val="00863AD5"/>
    <w:rPr>
      <w:rFonts w:cs="Times New Roman"/>
      <w:color w:val="3399FF"/>
      <w:u w:val="single"/>
    </w:rPr>
  </w:style>
  <w:style w:type="table" w:customStyle="1" w:styleId="LightShading1">
    <w:name w:val="Light Shading1"/>
    <w:uiPriority w:val="99"/>
    <w:rsid w:val="00DF600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A3024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A3024C"/>
  </w:style>
  <w:style w:type="paragraph" w:styleId="Footer">
    <w:name w:val="footer"/>
    <w:basedOn w:val="Normal"/>
    <w:link w:val="FooterChar"/>
    <w:uiPriority w:val="99"/>
    <w:rsid w:val="00A3024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A3024C"/>
  </w:style>
  <w:style w:type="paragraph" w:styleId="FootnoteText">
    <w:name w:val="footnote text"/>
    <w:basedOn w:val="Normal"/>
    <w:link w:val="FootnoteTextChar"/>
    <w:uiPriority w:val="99"/>
    <w:semiHidden/>
    <w:rsid w:val="00087ACE"/>
    <w:pPr>
      <w:spacing w:after="0" w:line="240" w:lineRule="auto"/>
    </w:pPr>
    <w:rPr>
      <w:sz w:val="20"/>
      <w:szCs w:val="20"/>
      <w:lang w:val="x-none" w:eastAsia="x-none"/>
    </w:rPr>
  </w:style>
  <w:style w:type="character" w:customStyle="1" w:styleId="FootnoteTextChar">
    <w:name w:val="Footnote Text Char"/>
    <w:link w:val="FootnoteText"/>
    <w:uiPriority w:val="99"/>
    <w:semiHidden/>
    <w:locked/>
    <w:rsid w:val="00087ACE"/>
    <w:rPr>
      <w:sz w:val="20"/>
    </w:rPr>
  </w:style>
  <w:style w:type="character" w:styleId="FootnoteReference">
    <w:name w:val="footnote reference"/>
    <w:uiPriority w:val="99"/>
    <w:semiHidden/>
    <w:rsid w:val="00087ACE"/>
    <w:rPr>
      <w:rFonts w:cs="Times New Roman"/>
      <w:vertAlign w:val="superscript"/>
    </w:rPr>
  </w:style>
  <w:style w:type="table" w:styleId="LightGrid-Accent4">
    <w:name w:val="Light Grid Accent 4"/>
    <w:basedOn w:val="TableNormal"/>
    <w:uiPriority w:val="99"/>
    <w:rsid w:val="0053305D"/>
    <w:tblPr>
      <w:tblStyleRowBandSize w:val="1"/>
      <w:tblStyleColBandSize w:val="1"/>
      <w:tblInd w:w="0" w:type="dxa"/>
      <w:tblBorders>
        <w:top w:val="single" w:sz="8" w:space="0" w:color="8798C6"/>
        <w:left w:val="single" w:sz="8" w:space="0" w:color="8798C6"/>
        <w:bottom w:val="single" w:sz="8" w:space="0" w:color="8798C6"/>
        <w:right w:val="single" w:sz="8" w:space="0" w:color="8798C6"/>
        <w:insideH w:val="single" w:sz="8" w:space="0" w:color="8798C6"/>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798C6"/>
          <w:left w:val="single" w:sz="8" w:space="0" w:color="8798C6"/>
          <w:bottom w:val="single" w:sz="8" w:space="0" w:color="8798C6"/>
          <w:right w:val="single" w:sz="8" w:space="0" w:color="8798C6"/>
          <w:insideH w:val="nil"/>
          <w:insideV w:val="nil"/>
        </w:tcBorders>
        <w:shd w:val="clear" w:color="auto" w:fill="6076B4"/>
      </w:tcPr>
    </w:tblStylePr>
    <w:tblStylePr w:type="lastRow">
      <w:pPr>
        <w:spacing w:before="0" w:after="0"/>
      </w:pPr>
      <w:rPr>
        <w:rFonts w:cs="Times New Roman"/>
        <w:b/>
        <w:bCs/>
      </w:rPr>
      <w:tblPr/>
      <w:tcPr>
        <w:tcBorders>
          <w:top w:val="double" w:sz="6" w:space="0" w:color="8798C6"/>
          <w:left w:val="single" w:sz="8" w:space="0" w:color="8798C6"/>
          <w:bottom w:val="single" w:sz="8" w:space="0" w:color="8798C6"/>
          <w:right w:val="single" w:sz="8" w:space="0" w:color="8798C6"/>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CEC"/>
      </w:tcPr>
    </w:tblStylePr>
    <w:tblStylePr w:type="band1Horz">
      <w:rPr>
        <w:rFonts w:cs="Times New Roman"/>
      </w:rPr>
      <w:tblPr/>
      <w:tcPr>
        <w:tcBorders>
          <w:insideH w:val="nil"/>
          <w:insideV w:val="nil"/>
        </w:tcBorders>
        <w:shd w:val="clear" w:color="auto" w:fill="D7DCEC"/>
      </w:tcPr>
    </w:tblStylePr>
    <w:tblStylePr w:type="band2Horz">
      <w:rPr>
        <w:rFonts w:cs="Times New Roman"/>
      </w:rPr>
      <w:tblPr/>
      <w:tcPr>
        <w:tcBorders>
          <w:insideH w:val="nil"/>
          <w:insideV w:val="nil"/>
        </w:tcBorders>
      </w:tcPr>
    </w:tblStylePr>
  </w:style>
  <w:style w:type="table" w:customStyle="1" w:styleId="ColorfulGrid-Accent61">
    <w:name w:val="Colorful Grid - Accent 61"/>
    <w:basedOn w:val="TableNormal"/>
    <w:uiPriority w:val="99"/>
    <w:rsid w:val="0053305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5808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758085"/>
      </w:tcPr>
    </w:tblStylePr>
    <w:tblStylePr w:type="lastCol">
      <w:rPr>
        <w:rFonts w:cs="Times New Roman"/>
        <w:b/>
        <w:bCs/>
        <w:color w:val="FFFFFF"/>
      </w:rPr>
      <w:tblPr/>
      <w:tcPr>
        <w:tcBorders>
          <w:left w:val="nil"/>
          <w:right w:val="nil"/>
          <w:insideH w:val="nil"/>
          <w:insideV w:val="nil"/>
        </w:tcBorders>
        <w:shd w:val="clear" w:color="auto" w:fill="75808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99"/>
    <w:rsid w:val="0053305D"/>
    <w:tblPr>
      <w:tblStyleRowBandSize w:val="1"/>
      <w:tblStyleColBandSize w:val="1"/>
      <w:tblInd w:w="0" w:type="dxa"/>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6076B4"/>
          <w:left w:val="single" w:sz="8" w:space="0" w:color="6076B4"/>
          <w:bottom w:val="single" w:sz="18" w:space="0" w:color="6076B4"/>
          <w:right w:val="single" w:sz="8" w:space="0" w:color="6076B4"/>
          <w:insideH w:val="nil"/>
          <w:insideV w:val="single" w:sz="8" w:space="0" w:color="6076B4"/>
        </w:tcBorders>
      </w:tcPr>
    </w:tblStylePr>
    <w:tblStylePr w:type="lastRow">
      <w:pPr>
        <w:spacing w:before="0" w:after="0"/>
      </w:pPr>
      <w:rPr>
        <w:rFonts w:ascii="Times New Roman" w:eastAsia="Times New Roman" w:hAnsi="Times New Roman" w:cs="Times New Roman"/>
        <w:b/>
        <w:bCs/>
      </w:rPr>
      <w:tblPr/>
      <w:tcPr>
        <w:tcBorders>
          <w:top w:val="double" w:sz="6" w:space="0" w:color="6076B4"/>
          <w:left w:val="single" w:sz="8" w:space="0" w:color="6076B4"/>
          <w:bottom w:val="single" w:sz="8" w:space="0" w:color="6076B4"/>
          <w:right w:val="single" w:sz="8" w:space="0" w:color="6076B4"/>
          <w:insideH w:val="nil"/>
          <w:insideV w:val="single" w:sz="8" w:space="0" w:color="6076B4"/>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6076B4"/>
          <w:left w:val="single" w:sz="8" w:space="0" w:color="6076B4"/>
          <w:bottom w:val="single" w:sz="8" w:space="0" w:color="6076B4"/>
          <w:right w:val="single" w:sz="8" w:space="0" w:color="6076B4"/>
        </w:tcBorders>
      </w:tcPr>
    </w:tblStylePr>
    <w:tblStylePr w:type="band1Vert">
      <w:rPr>
        <w:rFonts w:cs="Times New Roman"/>
      </w:rPr>
      <w:tblPr/>
      <w:tcPr>
        <w:tcBorders>
          <w:top w:val="single" w:sz="8" w:space="0" w:color="6076B4"/>
          <w:left w:val="single" w:sz="8" w:space="0" w:color="6076B4"/>
          <w:bottom w:val="single" w:sz="8" w:space="0" w:color="6076B4"/>
          <w:right w:val="single" w:sz="8" w:space="0" w:color="6076B4"/>
        </w:tcBorders>
        <w:shd w:val="clear" w:color="auto" w:fill="D7DCEC"/>
      </w:tcPr>
    </w:tblStylePr>
    <w:tblStylePr w:type="band1Horz">
      <w:rPr>
        <w:rFonts w:cs="Times New Roman"/>
      </w:rPr>
      <w:tblPr/>
      <w:tcPr>
        <w:tcBorders>
          <w:top w:val="single" w:sz="8" w:space="0" w:color="6076B4"/>
          <w:left w:val="single" w:sz="8" w:space="0" w:color="6076B4"/>
          <w:bottom w:val="single" w:sz="8" w:space="0" w:color="6076B4"/>
          <w:right w:val="single" w:sz="8" w:space="0" w:color="6076B4"/>
          <w:insideV w:val="single" w:sz="8" w:space="0" w:color="6076B4"/>
        </w:tcBorders>
        <w:shd w:val="clear" w:color="auto" w:fill="D7DCEC"/>
      </w:tcPr>
    </w:tblStylePr>
    <w:tblStylePr w:type="band2Horz">
      <w:rPr>
        <w:rFonts w:cs="Times New Roman"/>
      </w:rPr>
      <w:tblPr/>
      <w:tcPr>
        <w:tcBorders>
          <w:top w:val="single" w:sz="8" w:space="0" w:color="6076B4"/>
          <w:left w:val="single" w:sz="8" w:space="0" w:color="6076B4"/>
          <w:bottom w:val="single" w:sz="8" w:space="0" w:color="6076B4"/>
          <w:right w:val="single" w:sz="8" w:space="0" w:color="6076B4"/>
          <w:insideV w:val="single" w:sz="8" w:space="0" w:color="6076B4"/>
        </w:tcBorders>
      </w:tcPr>
    </w:tblStylePr>
  </w:style>
  <w:style w:type="paragraph" w:styleId="NormalWeb">
    <w:name w:val="Normal (Web)"/>
    <w:basedOn w:val="Normal"/>
    <w:uiPriority w:val="99"/>
    <w:rsid w:val="00BB3770"/>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rsid w:val="007A2CEC"/>
    <w:rPr>
      <w:rFonts w:cs="Times New Roman"/>
      <w:color w:val="B2B2B2"/>
      <w:u w:val="single"/>
    </w:rPr>
  </w:style>
  <w:style w:type="paragraph" w:styleId="EndnoteText">
    <w:name w:val="endnote text"/>
    <w:basedOn w:val="Normal"/>
    <w:link w:val="EndnoteTextChar"/>
    <w:uiPriority w:val="99"/>
    <w:semiHidden/>
    <w:rsid w:val="003D7A27"/>
    <w:pPr>
      <w:spacing w:after="0" w:line="240" w:lineRule="auto"/>
    </w:pPr>
    <w:rPr>
      <w:sz w:val="20"/>
      <w:szCs w:val="20"/>
      <w:lang w:val="x-none" w:eastAsia="x-none"/>
    </w:rPr>
  </w:style>
  <w:style w:type="character" w:customStyle="1" w:styleId="EndnoteTextChar">
    <w:name w:val="Endnote Text Char"/>
    <w:link w:val="EndnoteText"/>
    <w:uiPriority w:val="99"/>
    <w:semiHidden/>
    <w:locked/>
    <w:rsid w:val="003D7A27"/>
    <w:rPr>
      <w:sz w:val="20"/>
    </w:rPr>
  </w:style>
  <w:style w:type="character" w:styleId="EndnoteReference">
    <w:name w:val="endnote reference"/>
    <w:uiPriority w:val="99"/>
    <w:semiHidden/>
    <w:rsid w:val="003D7A27"/>
    <w:rPr>
      <w:rFonts w:cs="Times New Roman"/>
      <w:vertAlign w:val="superscript"/>
    </w:rPr>
  </w:style>
  <w:style w:type="paragraph" w:styleId="TOC1">
    <w:name w:val="toc 1"/>
    <w:basedOn w:val="Normal"/>
    <w:next w:val="Normal"/>
    <w:autoRedefine/>
    <w:uiPriority w:val="39"/>
    <w:rsid w:val="000F79D8"/>
    <w:pPr>
      <w:spacing w:after="100"/>
    </w:pPr>
  </w:style>
  <w:style w:type="paragraph" w:styleId="TOC2">
    <w:name w:val="toc 2"/>
    <w:basedOn w:val="Normal"/>
    <w:next w:val="Normal"/>
    <w:autoRedefine/>
    <w:uiPriority w:val="39"/>
    <w:rsid w:val="00BE0244"/>
    <w:pPr>
      <w:tabs>
        <w:tab w:val="right" w:leader="dot" w:pos="9350"/>
      </w:tabs>
      <w:spacing w:after="100"/>
      <w:ind w:left="450" w:hanging="230"/>
    </w:pPr>
  </w:style>
  <w:style w:type="paragraph" w:styleId="TOC3">
    <w:name w:val="toc 3"/>
    <w:basedOn w:val="Normal"/>
    <w:next w:val="Normal"/>
    <w:autoRedefine/>
    <w:uiPriority w:val="39"/>
    <w:rsid w:val="000F79D8"/>
    <w:pPr>
      <w:spacing w:after="100"/>
      <w:ind w:left="440"/>
    </w:pPr>
  </w:style>
  <w:style w:type="table" w:customStyle="1" w:styleId="IntenseQuote1">
    <w:name w:val="Intense Quote1"/>
    <w:uiPriority w:val="99"/>
    <w:rsid w:val="00E21E76"/>
    <w:rPr>
      <w:color w:val="42558C"/>
    </w:rPr>
    <w:tblPr>
      <w:tblStyleRowBandSize w:val="1"/>
      <w:tblStyleColBandSize w:val="1"/>
      <w:tblInd w:w="0" w:type="dxa"/>
      <w:tblBorders>
        <w:top w:val="single" w:sz="8" w:space="0" w:color="6076B4"/>
        <w:bottom w:val="single" w:sz="8" w:space="0" w:color="6076B4"/>
      </w:tblBorders>
      <w:tblCellMar>
        <w:top w:w="0" w:type="dxa"/>
        <w:left w:w="108" w:type="dxa"/>
        <w:bottom w:w="0" w:type="dxa"/>
        <w:right w:w="108" w:type="dxa"/>
      </w:tblCellMar>
    </w:tblPr>
  </w:style>
  <w:style w:type="table" w:styleId="TableGrid">
    <w:name w:val="Table Grid"/>
    <w:basedOn w:val="TableNormal"/>
    <w:uiPriority w:val="99"/>
    <w:rsid w:val="00A204E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ent">
    <w:name w:val="content"/>
    <w:uiPriority w:val="99"/>
    <w:rsid w:val="00A204E5"/>
  </w:style>
  <w:style w:type="character" w:styleId="CommentReference">
    <w:name w:val="annotation reference"/>
    <w:uiPriority w:val="99"/>
    <w:semiHidden/>
    <w:rsid w:val="00DF228E"/>
    <w:rPr>
      <w:rFonts w:cs="Times New Roman"/>
      <w:sz w:val="16"/>
    </w:rPr>
  </w:style>
  <w:style w:type="paragraph" w:styleId="CommentText">
    <w:name w:val="annotation text"/>
    <w:basedOn w:val="Normal"/>
    <w:link w:val="CommentTextChar"/>
    <w:uiPriority w:val="99"/>
    <w:semiHidden/>
    <w:rsid w:val="00DF228E"/>
    <w:pPr>
      <w:spacing w:line="240" w:lineRule="auto"/>
    </w:pPr>
    <w:rPr>
      <w:sz w:val="20"/>
      <w:szCs w:val="20"/>
      <w:lang w:val="x-none" w:eastAsia="x-none"/>
    </w:rPr>
  </w:style>
  <w:style w:type="character" w:customStyle="1" w:styleId="CommentTextChar">
    <w:name w:val="Comment Text Char"/>
    <w:link w:val="CommentText"/>
    <w:uiPriority w:val="99"/>
    <w:semiHidden/>
    <w:locked/>
    <w:rsid w:val="00DF228E"/>
    <w:rPr>
      <w:sz w:val="20"/>
    </w:rPr>
  </w:style>
  <w:style w:type="paragraph" w:styleId="CommentSubject">
    <w:name w:val="annotation subject"/>
    <w:basedOn w:val="CommentText"/>
    <w:next w:val="CommentText"/>
    <w:link w:val="CommentSubjectChar"/>
    <w:uiPriority w:val="99"/>
    <w:semiHidden/>
    <w:rsid w:val="00DF228E"/>
    <w:rPr>
      <w:b/>
    </w:rPr>
  </w:style>
  <w:style w:type="character" w:customStyle="1" w:styleId="CommentSubjectChar">
    <w:name w:val="Comment Subject Char"/>
    <w:link w:val="CommentSubject"/>
    <w:uiPriority w:val="99"/>
    <w:semiHidden/>
    <w:locked/>
    <w:rsid w:val="00DF228E"/>
    <w:rPr>
      <w:b/>
      <w:sz w:val="20"/>
    </w:rPr>
  </w:style>
  <w:style w:type="paragraph" w:customStyle="1" w:styleId="ColorfulShading-Accent11">
    <w:name w:val="Colorful Shading - Accent 11"/>
    <w:hidden/>
    <w:uiPriority w:val="99"/>
    <w:semiHidden/>
    <w:rsid w:val="00502BCE"/>
    <w:rPr>
      <w:sz w:val="22"/>
      <w:szCs w:val="22"/>
    </w:rPr>
  </w:style>
  <w:style w:type="paragraph" w:customStyle="1" w:styleId="DefaultParagraph">
    <w:name w:val="DefaultParagraph"/>
    <w:uiPriority w:val="99"/>
    <w:rsid w:val="0021352D"/>
    <w:pPr>
      <w:widowControl w:val="0"/>
      <w:autoSpaceDE w:val="0"/>
      <w:autoSpaceDN w:val="0"/>
      <w:adjustRightInd w:val="0"/>
    </w:pPr>
    <w:rPr>
      <w:rFonts w:ascii="Calibri" w:hAnsi="Calibri"/>
      <w:lang w:eastAsia="ja-JP"/>
    </w:rPr>
  </w:style>
  <w:style w:type="character" w:customStyle="1" w:styleId="arial1">
    <w:name w:val="arial1"/>
    <w:uiPriority w:val="99"/>
    <w:rsid w:val="009E0392"/>
  </w:style>
  <w:style w:type="character" w:customStyle="1" w:styleId="profileheader">
    <w:name w:val="profileheader"/>
    <w:uiPriority w:val="99"/>
    <w:rsid w:val="009E0392"/>
  </w:style>
  <w:style w:type="character" w:customStyle="1" w:styleId="menu1">
    <w:name w:val="menu1"/>
    <w:uiPriority w:val="99"/>
    <w:rsid w:val="009010FE"/>
  </w:style>
  <w:style w:type="character" w:customStyle="1" w:styleId="menu2">
    <w:name w:val="menu2"/>
    <w:uiPriority w:val="99"/>
    <w:rsid w:val="009010FE"/>
  </w:style>
  <w:style w:type="table" w:customStyle="1" w:styleId="IntenseReference2">
    <w:name w:val="Intense Reference2"/>
    <w:uiPriority w:val="99"/>
    <w:rsid w:val="00B153D3"/>
    <w:rPr>
      <w:rFonts w:ascii="Calibri" w:eastAsia="MS Gothic" w:hAnsi="Calibri"/>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TOCHeading2">
    <w:name w:val="TOC Heading2"/>
    <w:uiPriority w:val="99"/>
    <w:rsid w:val="00B153D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BookTitle2">
    <w:name w:val="Book Title2"/>
    <w:basedOn w:val="TableNormal"/>
    <w:uiPriority w:val="99"/>
    <w:qFormat/>
    <w:rsid w:val="00B153D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Grid3-Accent4">
    <w:name w:val="Medium Grid 3 Accent 4"/>
    <w:basedOn w:val="TableNormal"/>
    <w:uiPriority w:val="99"/>
    <w:rsid w:val="00B153D3"/>
    <w:rPr>
      <w:rFonts w:ascii="Calibri" w:eastAsia="MS Gothic"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Bibliography1">
    <w:name w:val="Bibliography1"/>
    <w:basedOn w:val="TableNormal"/>
    <w:uiPriority w:val="99"/>
    <w:rsid w:val="00B153D3"/>
    <w:rPr>
      <w:rFonts w:ascii="Calibri" w:eastAsia="MS Gothic"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olorfulList-Accent4">
    <w:name w:val="Colorful List Accent 4"/>
    <w:basedOn w:val="TableNormal"/>
    <w:uiPriority w:val="99"/>
    <w:rsid w:val="00B153D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DarkList-Accent4">
    <w:name w:val="Dark List Accent 4"/>
    <w:basedOn w:val="TableNormal"/>
    <w:uiPriority w:val="99"/>
    <w:rsid w:val="00B153D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TOCHeading3">
    <w:name w:val="TOC Heading3"/>
    <w:basedOn w:val="Heading1"/>
    <w:next w:val="Normal"/>
    <w:uiPriority w:val="39"/>
    <w:qFormat/>
    <w:rsid w:val="006A3A52"/>
    <w:pPr>
      <w:keepNext/>
      <w:keepLines/>
      <w:pBdr>
        <w:bottom w:val="none" w:sz="0" w:space="0" w:color="auto"/>
      </w:pBdr>
      <w:spacing w:before="480" w:after="0" w:line="276" w:lineRule="auto"/>
      <w:jc w:val="left"/>
      <w:outlineLvl w:val="9"/>
    </w:pPr>
    <w:rPr>
      <w:rFonts w:eastAsia="MS Gothic"/>
      <w:b/>
      <w:bCs/>
      <w:caps w:val="0"/>
      <w:color w:val="365F91"/>
      <w:spacing w:val="0"/>
      <w:lang w:eastAsia="ja-JP"/>
    </w:rPr>
  </w:style>
  <w:style w:type="paragraph" w:customStyle="1" w:styleId="MediumGrid1-Accent21">
    <w:name w:val="Medium Grid 1 - Accent 21"/>
    <w:basedOn w:val="Normal"/>
    <w:uiPriority w:val="99"/>
    <w:qFormat/>
    <w:rsid w:val="00FB7417"/>
    <w:pPr>
      <w:ind w:left="720"/>
    </w:pPr>
  </w:style>
  <w:style w:type="paragraph" w:styleId="MediumGrid1-Accent2">
    <w:name w:val="Medium Grid 1 Accent 2"/>
    <w:basedOn w:val="Normal"/>
    <w:uiPriority w:val="34"/>
    <w:qFormat/>
    <w:rsid w:val="001401EC"/>
    <w:pPr>
      <w:ind w:left="720"/>
    </w:pPr>
  </w:style>
  <w:style w:type="table" w:customStyle="1" w:styleId="LightShading2">
    <w:name w:val="Light Shading2"/>
    <w:basedOn w:val="TableNormal"/>
    <w:uiPriority w:val="60"/>
    <w:rsid w:val="008E6A0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E6A0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8E6A0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Event">
    <w:name w:val="Event"/>
    <w:basedOn w:val="Normal"/>
    <w:qFormat/>
    <w:rsid w:val="00564C26"/>
    <w:pPr>
      <w:spacing w:after="80" w:line="240" w:lineRule="auto"/>
    </w:pPr>
    <w:rPr>
      <w:rFonts w:ascii="Calibri" w:hAnsi="Calibri"/>
      <w:sz w:val="18"/>
    </w:rPr>
  </w:style>
  <w:style w:type="paragraph" w:customStyle="1" w:styleId="AdditionalInformation">
    <w:name w:val="Additional Information"/>
    <w:basedOn w:val="Normal"/>
    <w:qFormat/>
    <w:rsid w:val="00564C26"/>
    <w:pPr>
      <w:spacing w:after="120" w:line="336" w:lineRule="auto"/>
    </w:pPr>
    <w:rPr>
      <w:rFonts w:ascii="Calibri" w:hAnsi="Calibr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2BCE"/>
    <w:pPr>
      <w:spacing w:after="200" w:line="252" w:lineRule="auto"/>
    </w:pPr>
    <w:rPr>
      <w:sz w:val="22"/>
      <w:szCs w:val="22"/>
    </w:rPr>
  </w:style>
  <w:style w:type="paragraph" w:styleId="Heading1">
    <w:name w:val="heading 1"/>
    <w:basedOn w:val="Normal"/>
    <w:next w:val="Normal"/>
    <w:link w:val="Heading1Char"/>
    <w:uiPriority w:val="99"/>
    <w:qFormat/>
    <w:rsid w:val="00502BCE"/>
    <w:pPr>
      <w:pBdr>
        <w:bottom w:val="thinThickSmallGap" w:sz="12" w:space="1" w:color="743D3D"/>
      </w:pBdr>
      <w:spacing w:before="400"/>
      <w:jc w:val="center"/>
      <w:outlineLvl w:val="0"/>
    </w:pPr>
    <w:rPr>
      <w:caps/>
      <w:color w:val="4E2929"/>
      <w:spacing w:val="20"/>
      <w:sz w:val="28"/>
      <w:szCs w:val="20"/>
      <w:lang w:val="x-none" w:eastAsia="x-none"/>
    </w:rPr>
  </w:style>
  <w:style w:type="paragraph" w:styleId="Heading2">
    <w:name w:val="heading 2"/>
    <w:basedOn w:val="Normal"/>
    <w:next w:val="Normal"/>
    <w:link w:val="Heading2Char"/>
    <w:uiPriority w:val="99"/>
    <w:qFormat/>
    <w:rsid w:val="00502BCE"/>
    <w:pPr>
      <w:pBdr>
        <w:bottom w:val="single" w:sz="4" w:space="1" w:color="4D2828"/>
      </w:pBdr>
      <w:spacing w:before="400"/>
      <w:jc w:val="center"/>
      <w:outlineLvl w:val="1"/>
    </w:pPr>
    <w:rPr>
      <w:caps/>
      <w:color w:val="4E2929"/>
      <w:spacing w:val="15"/>
      <w:sz w:val="24"/>
      <w:szCs w:val="20"/>
      <w:lang w:val="x-none" w:eastAsia="x-none"/>
    </w:rPr>
  </w:style>
  <w:style w:type="paragraph" w:styleId="Heading3">
    <w:name w:val="heading 3"/>
    <w:basedOn w:val="Normal"/>
    <w:next w:val="Normal"/>
    <w:link w:val="Heading3Char"/>
    <w:uiPriority w:val="99"/>
    <w:qFormat/>
    <w:rsid w:val="00502BCE"/>
    <w:pPr>
      <w:pBdr>
        <w:top w:val="dotted" w:sz="4" w:space="1" w:color="4D2828"/>
        <w:bottom w:val="dotted" w:sz="4" w:space="1" w:color="4D2828"/>
      </w:pBdr>
      <w:spacing w:before="300"/>
      <w:jc w:val="center"/>
      <w:outlineLvl w:val="2"/>
    </w:pPr>
    <w:rPr>
      <w:caps/>
      <w:color w:val="4D2828"/>
      <w:sz w:val="24"/>
      <w:szCs w:val="20"/>
      <w:lang w:val="x-none" w:eastAsia="x-none"/>
    </w:rPr>
  </w:style>
  <w:style w:type="paragraph" w:styleId="Heading4">
    <w:name w:val="heading 4"/>
    <w:basedOn w:val="Normal"/>
    <w:next w:val="Normal"/>
    <w:link w:val="Heading4Char"/>
    <w:uiPriority w:val="99"/>
    <w:qFormat/>
    <w:rsid w:val="00502BCE"/>
    <w:pPr>
      <w:pBdr>
        <w:bottom w:val="dotted" w:sz="4" w:space="1" w:color="743D3D"/>
      </w:pBdr>
      <w:spacing w:after="120"/>
      <w:jc w:val="center"/>
      <w:outlineLvl w:val="3"/>
    </w:pPr>
    <w:rPr>
      <w:caps/>
      <w:color w:val="4D2828"/>
      <w:spacing w:val="10"/>
      <w:sz w:val="20"/>
      <w:szCs w:val="20"/>
      <w:lang w:val="x-none" w:eastAsia="x-none"/>
    </w:rPr>
  </w:style>
  <w:style w:type="paragraph" w:styleId="Heading5">
    <w:name w:val="heading 5"/>
    <w:basedOn w:val="Normal"/>
    <w:next w:val="Normal"/>
    <w:link w:val="Heading5Char"/>
    <w:uiPriority w:val="99"/>
    <w:qFormat/>
    <w:rsid w:val="00502BCE"/>
    <w:pPr>
      <w:spacing w:before="320" w:after="120"/>
      <w:jc w:val="center"/>
      <w:outlineLvl w:val="4"/>
    </w:pPr>
    <w:rPr>
      <w:caps/>
      <w:color w:val="4D2828"/>
      <w:spacing w:val="10"/>
      <w:sz w:val="20"/>
      <w:szCs w:val="20"/>
      <w:lang w:val="x-none" w:eastAsia="x-none"/>
    </w:rPr>
  </w:style>
  <w:style w:type="paragraph" w:styleId="Heading6">
    <w:name w:val="heading 6"/>
    <w:basedOn w:val="Normal"/>
    <w:next w:val="Normal"/>
    <w:link w:val="Heading6Char"/>
    <w:uiPriority w:val="99"/>
    <w:qFormat/>
    <w:rsid w:val="00502BCE"/>
    <w:pPr>
      <w:spacing w:after="120"/>
      <w:jc w:val="center"/>
      <w:outlineLvl w:val="5"/>
    </w:pPr>
    <w:rPr>
      <w:caps/>
      <w:color w:val="743D3D"/>
      <w:spacing w:val="10"/>
      <w:sz w:val="20"/>
      <w:szCs w:val="20"/>
      <w:lang w:val="x-none" w:eastAsia="x-none"/>
    </w:rPr>
  </w:style>
  <w:style w:type="paragraph" w:styleId="Heading7">
    <w:name w:val="heading 7"/>
    <w:basedOn w:val="Normal"/>
    <w:next w:val="Normal"/>
    <w:link w:val="Heading7Char"/>
    <w:uiPriority w:val="99"/>
    <w:qFormat/>
    <w:rsid w:val="00502BCE"/>
    <w:pPr>
      <w:spacing w:after="120"/>
      <w:jc w:val="center"/>
      <w:outlineLvl w:val="6"/>
    </w:pPr>
    <w:rPr>
      <w:i/>
      <w:caps/>
      <w:color w:val="743D3D"/>
      <w:spacing w:val="10"/>
      <w:sz w:val="20"/>
      <w:szCs w:val="20"/>
      <w:lang w:val="x-none" w:eastAsia="x-none"/>
    </w:rPr>
  </w:style>
  <w:style w:type="paragraph" w:styleId="Heading8">
    <w:name w:val="heading 8"/>
    <w:basedOn w:val="Normal"/>
    <w:next w:val="Normal"/>
    <w:link w:val="Heading8Char"/>
    <w:uiPriority w:val="99"/>
    <w:qFormat/>
    <w:rsid w:val="00502BCE"/>
    <w:pPr>
      <w:spacing w:after="120"/>
      <w:jc w:val="center"/>
      <w:outlineLvl w:val="7"/>
    </w:pPr>
    <w:rPr>
      <w:caps/>
      <w:spacing w:val="10"/>
      <w:sz w:val="20"/>
      <w:szCs w:val="20"/>
      <w:lang w:val="x-none" w:eastAsia="x-none"/>
    </w:rPr>
  </w:style>
  <w:style w:type="paragraph" w:styleId="Heading9">
    <w:name w:val="heading 9"/>
    <w:basedOn w:val="Normal"/>
    <w:next w:val="Normal"/>
    <w:link w:val="Heading9Char"/>
    <w:uiPriority w:val="99"/>
    <w:qFormat/>
    <w:rsid w:val="00502BCE"/>
    <w:pPr>
      <w:spacing w:after="120"/>
      <w:jc w:val="center"/>
      <w:outlineLvl w:val="8"/>
    </w:pPr>
    <w:rPr>
      <w:i/>
      <w:caps/>
      <w:spacing w:val="1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2BCE"/>
    <w:rPr>
      <w:caps/>
      <w:color w:val="4E2929"/>
      <w:spacing w:val="20"/>
      <w:sz w:val="28"/>
    </w:rPr>
  </w:style>
  <w:style w:type="character" w:customStyle="1" w:styleId="Heading2Char">
    <w:name w:val="Heading 2 Char"/>
    <w:link w:val="Heading2"/>
    <w:uiPriority w:val="99"/>
    <w:locked/>
    <w:rsid w:val="00502BCE"/>
    <w:rPr>
      <w:caps/>
      <w:color w:val="4E2929"/>
      <w:spacing w:val="15"/>
      <w:sz w:val="24"/>
    </w:rPr>
  </w:style>
  <w:style w:type="character" w:customStyle="1" w:styleId="Heading3Char">
    <w:name w:val="Heading 3 Char"/>
    <w:link w:val="Heading3"/>
    <w:uiPriority w:val="99"/>
    <w:locked/>
    <w:rsid w:val="00502BCE"/>
    <w:rPr>
      <w:caps/>
      <w:color w:val="4D2828"/>
      <w:sz w:val="24"/>
    </w:rPr>
  </w:style>
  <w:style w:type="character" w:customStyle="1" w:styleId="Heading4Char">
    <w:name w:val="Heading 4 Char"/>
    <w:link w:val="Heading4"/>
    <w:uiPriority w:val="99"/>
    <w:locked/>
    <w:rsid w:val="00502BCE"/>
    <w:rPr>
      <w:caps/>
      <w:color w:val="4D2828"/>
      <w:spacing w:val="10"/>
    </w:rPr>
  </w:style>
  <w:style w:type="character" w:customStyle="1" w:styleId="Heading5Char">
    <w:name w:val="Heading 5 Char"/>
    <w:link w:val="Heading5"/>
    <w:uiPriority w:val="99"/>
    <w:locked/>
    <w:rsid w:val="00502BCE"/>
    <w:rPr>
      <w:caps/>
      <w:color w:val="4D2828"/>
      <w:spacing w:val="10"/>
    </w:rPr>
  </w:style>
  <w:style w:type="character" w:customStyle="1" w:styleId="Heading6Char">
    <w:name w:val="Heading 6 Char"/>
    <w:link w:val="Heading6"/>
    <w:uiPriority w:val="99"/>
    <w:locked/>
    <w:rsid w:val="00502BCE"/>
    <w:rPr>
      <w:caps/>
      <w:color w:val="743D3D"/>
      <w:spacing w:val="10"/>
    </w:rPr>
  </w:style>
  <w:style w:type="character" w:customStyle="1" w:styleId="Heading7Char">
    <w:name w:val="Heading 7 Char"/>
    <w:link w:val="Heading7"/>
    <w:uiPriority w:val="99"/>
    <w:locked/>
    <w:rsid w:val="00502BCE"/>
    <w:rPr>
      <w:i/>
      <w:caps/>
      <w:color w:val="743D3D"/>
      <w:spacing w:val="10"/>
    </w:rPr>
  </w:style>
  <w:style w:type="character" w:customStyle="1" w:styleId="Heading8Char">
    <w:name w:val="Heading 8 Char"/>
    <w:link w:val="Heading8"/>
    <w:uiPriority w:val="99"/>
    <w:locked/>
    <w:rsid w:val="00502BCE"/>
    <w:rPr>
      <w:caps/>
      <w:spacing w:val="10"/>
      <w:sz w:val="20"/>
    </w:rPr>
  </w:style>
  <w:style w:type="character" w:customStyle="1" w:styleId="Heading9Char">
    <w:name w:val="Heading 9 Char"/>
    <w:link w:val="Heading9"/>
    <w:uiPriority w:val="99"/>
    <w:semiHidden/>
    <w:locked/>
    <w:rsid w:val="00502BCE"/>
    <w:rPr>
      <w:i/>
      <w:caps/>
      <w:spacing w:val="10"/>
      <w:sz w:val="20"/>
    </w:rPr>
  </w:style>
  <w:style w:type="paragraph" w:styleId="Title">
    <w:name w:val="Title"/>
    <w:basedOn w:val="Normal"/>
    <w:next w:val="Normal"/>
    <w:link w:val="TitleChar"/>
    <w:uiPriority w:val="99"/>
    <w:qFormat/>
    <w:rsid w:val="00502BCE"/>
    <w:pPr>
      <w:pBdr>
        <w:top w:val="dotted" w:sz="2" w:space="1" w:color="4E2929"/>
        <w:bottom w:val="dotted" w:sz="2" w:space="6" w:color="4E2929"/>
      </w:pBdr>
      <w:spacing w:before="500" w:after="300" w:line="240" w:lineRule="auto"/>
      <w:jc w:val="center"/>
    </w:pPr>
    <w:rPr>
      <w:caps/>
      <w:color w:val="4E2929"/>
      <w:spacing w:val="50"/>
      <w:sz w:val="44"/>
      <w:szCs w:val="20"/>
      <w:lang w:val="x-none" w:eastAsia="x-none"/>
    </w:rPr>
  </w:style>
  <w:style w:type="character" w:customStyle="1" w:styleId="TitleChar">
    <w:name w:val="Title Char"/>
    <w:link w:val="Title"/>
    <w:uiPriority w:val="99"/>
    <w:locked/>
    <w:rsid w:val="00502BCE"/>
    <w:rPr>
      <w:caps/>
      <w:color w:val="4E2929"/>
      <w:spacing w:val="50"/>
      <w:sz w:val="44"/>
    </w:rPr>
  </w:style>
  <w:style w:type="paragraph" w:styleId="BalloonText">
    <w:name w:val="Balloon Text"/>
    <w:basedOn w:val="Normal"/>
    <w:link w:val="BalloonTextChar"/>
    <w:uiPriority w:val="99"/>
    <w:semiHidden/>
    <w:rsid w:val="00830BB4"/>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830BB4"/>
    <w:rPr>
      <w:rFonts w:ascii="Tahoma" w:hAnsi="Tahoma"/>
      <w:sz w:val="16"/>
    </w:rPr>
  </w:style>
  <w:style w:type="paragraph" w:customStyle="1" w:styleId="PersonalName">
    <w:name w:val="Personal Name"/>
    <w:basedOn w:val="Title"/>
    <w:uiPriority w:val="99"/>
    <w:rsid w:val="00830BB4"/>
    <w:rPr>
      <w:b/>
      <w:caps w:val="0"/>
      <w:color w:val="000000"/>
      <w:sz w:val="28"/>
      <w:szCs w:val="28"/>
    </w:rPr>
  </w:style>
  <w:style w:type="paragraph" w:styleId="Caption">
    <w:name w:val="caption"/>
    <w:basedOn w:val="Normal"/>
    <w:next w:val="Normal"/>
    <w:uiPriority w:val="99"/>
    <w:qFormat/>
    <w:rsid w:val="00502BCE"/>
    <w:rPr>
      <w:caps/>
      <w:spacing w:val="10"/>
      <w:sz w:val="18"/>
      <w:szCs w:val="18"/>
    </w:rPr>
  </w:style>
  <w:style w:type="paragraph" w:styleId="Subtitle">
    <w:name w:val="Subtitle"/>
    <w:basedOn w:val="Normal"/>
    <w:next w:val="Normal"/>
    <w:link w:val="SubtitleChar"/>
    <w:uiPriority w:val="99"/>
    <w:qFormat/>
    <w:rsid w:val="00502BCE"/>
    <w:pPr>
      <w:spacing w:after="560" w:line="240" w:lineRule="auto"/>
      <w:jc w:val="center"/>
    </w:pPr>
    <w:rPr>
      <w:caps/>
      <w:spacing w:val="20"/>
      <w:sz w:val="18"/>
      <w:szCs w:val="20"/>
      <w:lang w:val="x-none" w:eastAsia="x-none"/>
    </w:rPr>
  </w:style>
  <w:style w:type="character" w:customStyle="1" w:styleId="SubtitleChar">
    <w:name w:val="Subtitle Char"/>
    <w:link w:val="Subtitle"/>
    <w:uiPriority w:val="99"/>
    <w:locked/>
    <w:rsid w:val="00502BCE"/>
    <w:rPr>
      <w:caps/>
      <w:spacing w:val="20"/>
      <w:sz w:val="18"/>
    </w:rPr>
  </w:style>
  <w:style w:type="character" w:styleId="Strong">
    <w:name w:val="Strong"/>
    <w:uiPriority w:val="22"/>
    <w:qFormat/>
    <w:rsid w:val="00502BCE"/>
    <w:rPr>
      <w:rFonts w:cs="Times New Roman"/>
      <w:b/>
      <w:color w:val="743D3D"/>
      <w:spacing w:val="5"/>
    </w:rPr>
  </w:style>
  <w:style w:type="character" w:styleId="Emphasis">
    <w:name w:val="Emphasis"/>
    <w:uiPriority w:val="20"/>
    <w:qFormat/>
    <w:rsid w:val="00502BCE"/>
    <w:rPr>
      <w:rFonts w:cs="Times New Roman"/>
      <w:caps/>
      <w:spacing w:val="5"/>
      <w:sz w:val="20"/>
    </w:rPr>
  </w:style>
  <w:style w:type="paragraph" w:customStyle="1" w:styleId="NoSpacing1">
    <w:name w:val="No Spacing1"/>
    <w:basedOn w:val="Normal"/>
    <w:link w:val="NoSpacingChar"/>
    <w:uiPriority w:val="99"/>
    <w:rsid w:val="00502BCE"/>
    <w:pPr>
      <w:spacing w:after="0" w:line="240" w:lineRule="auto"/>
    </w:pPr>
    <w:rPr>
      <w:sz w:val="20"/>
      <w:szCs w:val="20"/>
    </w:rPr>
  </w:style>
  <w:style w:type="character" w:customStyle="1" w:styleId="NoSpacingChar">
    <w:name w:val="No Spacing Char"/>
    <w:link w:val="NoSpacing1"/>
    <w:uiPriority w:val="99"/>
    <w:locked/>
    <w:rsid w:val="00502BCE"/>
  </w:style>
  <w:style w:type="paragraph" w:customStyle="1" w:styleId="ColorfulList-Accent11">
    <w:name w:val="Colorful List - Accent 11"/>
    <w:basedOn w:val="Normal"/>
    <w:uiPriority w:val="99"/>
    <w:rsid w:val="00502BCE"/>
    <w:pPr>
      <w:ind w:left="720"/>
      <w:contextualSpacing/>
    </w:pPr>
  </w:style>
  <w:style w:type="paragraph" w:customStyle="1" w:styleId="ColorfulGrid-Accent11">
    <w:name w:val="Colorful Grid - Accent 11"/>
    <w:basedOn w:val="Normal"/>
    <w:next w:val="Normal"/>
    <w:link w:val="ColorfulGrid-Accent1Char"/>
    <w:uiPriority w:val="99"/>
    <w:rsid w:val="00502BCE"/>
    <w:rPr>
      <w:i/>
      <w:sz w:val="20"/>
      <w:szCs w:val="20"/>
      <w:lang w:val="x-none" w:eastAsia="x-none"/>
    </w:rPr>
  </w:style>
  <w:style w:type="character" w:customStyle="1" w:styleId="ColorfulGrid-Accent1Char">
    <w:name w:val="Colorful Grid - Accent 1 Char"/>
    <w:link w:val="ColorfulGrid-Accent11"/>
    <w:uiPriority w:val="99"/>
    <w:locked/>
    <w:rsid w:val="00502BCE"/>
    <w:rPr>
      <w:i/>
    </w:rPr>
  </w:style>
  <w:style w:type="paragraph" w:customStyle="1" w:styleId="LightShading-Accent21">
    <w:name w:val="Light Shading - Accent 21"/>
    <w:basedOn w:val="Normal"/>
    <w:next w:val="Normal"/>
    <w:link w:val="LightShading-Accent2Char"/>
    <w:uiPriority w:val="99"/>
    <w:rsid w:val="00502BCE"/>
    <w:pPr>
      <w:pBdr>
        <w:top w:val="dotted" w:sz="2" w:space="10" w:color="4E2929"/>
        <w:bottom w:val="dotted" w:sz="2" w:space="4" w:color="4E2929"/>
      </w:pBdr>
      <w:spacing w:before="160" w:line="300" w:lineRule="auto"/>
      <w:ind w:left="1440" w:right="1440"/>
    </w:pPr>
    <w:rPr>
      <w:caps/>
      <w:color w:val="4D2828"/>
      <w:spacing w:val="5"/>
      <w:sz w:val="20"/>
      <w:szCs w:val="20"/>
      <w:lang w:val="x-none" w:eastAsia="x-none"/>
    </w:rPr>
  </w:style>
  <w:style w:type="character" w:customStyle="1" w:styleId="LightShading-Accent2Char">
    <w:name w:val="Light Shading - Accent 2 Char"/>
    <w:link w:val="LightShading-Accent21"/>
    <w:uiPriority w:val="99"/>
    <w:locked/>
    <w:rsid w:val="00502BCE"/>
    <w:rPr>
      <w:caps/>
      <w:color w:val="4D2828"/>
      <w:spacing w:val="5"/>
      <w:sz w:val="20"/>
    </w:rPr>
  </w:style>
  <w:style w:type="character" w:customStyle="1" w:styleId="SubtleEmphasis1">
    <w:name w:val="Subtle Emphasis1"/>
    <w:uiPriority w:val="99"/>
    <w:rsid w:val="00502BCE"/>
    <w:rPr>
      <w:i/>
    </w:rPr>
  </w:style>
  <w:style w:type="character" w:customStyle="1" w:styleId="IntenseEmphasis1">
    <w:name w:val="Intense Emphasis1"/>
    <w:uiPriority w:val="99"/>
    <w:rsid w:val="00502BCE"/>
    <w:rPr>
      <w:i/>
      <w:caps/>
      <w:spacing w:val="10"/>
      <w:sz w:val="20"/>
    </w:rPr>
  </w:style>
  <w:style w:type="character" w:customStyle="1" w:styleId="SubtleReference1">
    <w:name w:val="Subtle Reference1"/>
    <w:uiPriority w:val="99"/>
    <w:rsid w:val="00502BCE"/>
    <w:rPr>
      <w:rFonts w:ascii="Calibri" w:hAnsi="Calibri"/>
      <w:i/>
      <w:color w:val="4D2828"/>
    </w:rPr>
  </w:style>
  <w:style w:type="character" w:customStyle="1" w:styleId="IntenseReference1">
    <w:name w:val="Intense Reference1"/>
    <w:uiPriority w:val="99"/>
    <w:rsid w:val="00502BCE"/>
    <w:rPr>
      <w:rFonts w:ascii="Calibri" w:hAnsi="Calibri"/>
      <w:b/>
      <w:i/>
      <w:color w:val="4D2828"/>
    </w:rPr>
  </w:style>
  <w:style w:type="character" w:customStyle="1" w:styleId="BookTitle1">
    <w:name w:val="Book Title1"/>
    <w:uiPriority w:val="99"/>
    <w:rsid w:val="00502BCE"/>
    <w:rPr>
      <w:caps/>
      <w:color w:val="4D2828"/>
      <w:spacing w:val="5"/>
      <w:u w:color="4D2828"/>
    </w:rPr>
  </w:style>
  <w:style w:type="paragraph" w:customStyle="1" w:styleId="TOCHeading1">
    <w:name w:val="TOC Heading1"/>
    <w:basedOn w:val="Heading1"/>
    <w:next w:val="Normal"/>
    <w:uiPriority w:val="99"/>
    <w:rsid w:val="00502BCE"/>
    <w:pPr>
      <w:outlineLvl w:val="9"/>
    </w:pPr>
  </w:style>
  <w:style w:type="character" w:styleId="Hyperlink">
    <w:name w:val="Hyperlink"/>
    <w:uiPriority w:val="99"/>
    <w:rsid w:val="00863AD5"/>
    <w:rPr>
      <w:rFonts w:cs="Times New Roman"/>
      <w:color w:val="3399FF"/>
      <w:u w:val="single"/>
    </w:rPr>
  </w:style>
  <w:style w:type="table" w:customStyle="1" w:styleId="LightShading1">
    <w:name w:val="Light Shading1"/>
    <w:uiPriority w:val="99"/>
    <w:rsid w:val="00DF600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A3024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A3024C"/>
  </w:style>
  <w:style w:type="paragraph" w:styleId="Footer">
    <w:name w:val="footer"/>
    <w:basedOn w:val="Normal"/>
    <w:link w:val="FooterChar"/>
    <w:uiPriority w:val="99"/>
    <w:rsid w:val="00A3024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A3024C"/>
  </w:style>
  <w:style w:type="paragraph" w:styleId="FootnoteText">
    <w:name w:val="footnote text"/>
    <w:basedOn w:val="Normal"/>
    <w:link w:val="FootnoteTextChar"/>
    <w:uiPriority w:val="99"/>
    <w:semiHidden/>
    <w:rsid w:val="00087ACE"/>
    <w:pPr>
      <w:spacing w:after="0" w:line="240" w:lineRule="auto"/>
    </w:pPr>
    <w:rPr>
      <w:sz w:val="20"/>
      <w:szCs w:val="20"/>
      <w:lang w:val="x-none" w:eastAsia="x-none"/>
    </w:rPr>
  </w:style>
  <w:style w:type="character" w:customStyle="1" w:styleId="FootnoteTextChar">
    <w:name w:val="Footnote Text Char"/>
    <w:link w:val="FootnoteText"/>
    <w:uiPriority w:val="99"/>
    <w:semiHidden/>
    <w:locked/>
    <w:rsid w:val="00087ACE"/>
    <w:rPr>
      <w:sz w:val="20"/>
    </w:rPr>
  </w:style>
  <w:style w:type="character" w:styleId="FootnoteReference">
    <w:name w:val="footnote reference"/>
    <w:uiPriority w:val="99"/>
    <w:semiHidden/>
    <w:rsid w:val="00087ACE"/>
    <w:rPr>
      <w:rFonts w:cs="Times New Roman"/>
      <w:vertAlign w:val="superscript"/>
    </w:rPr>
  </w:style>
  <w:style w:type="table" w:styleId="LightGrid-Accent4">
    <w:name w:val="Light Grid Accent 4"/>
    <w:basedOn w:val="TableNormal"/>
    <w:uiPriority w:val="99"/>
    <w:rsid w:val="0053305D"/>
    <w:tblPr>
      <w:tblStyleRowBandSize w:val="1"/>
      <w:tblStyleColBandSize w:val="1"/>
      <w:tblInd w:w="0" w:type="dxa"/>
      <w:tblBorders>
        <w:top w:val="single" w:sz="8" w:space="0" w:color="8798C6"/>
        <w:left w:val="single" w:sz="8" w:space="0" w:color="8798C6"/>
        <w:bottom w:val="single" w:sz="8" w:space="0" w:color="8798C6"/>
        <w:right w:val="single" w:sz="8" w:space="0" w:color="8798C6"/>
        <w:insideH w:val="single" w:sz="8" w:space="0" w:color="8798C6"/>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798C6"/>
          <w:left w:val="single" w:sz="8" w:space="0" w:color="8798C6"/>
          <w:bottom w:val="single" w:sz="8" w:space="0" w:color="8798C6"/>
          <w:right w:val="single" w:sz="8" w:space="0" w:color="8798C6"/>
          <w:insideH w:val="nil"/>
          <w:insideV w:val="nil"/>
        </w:tcBorders>
        <w:shd w:val="clear" w:color="auto" w:fill="6076B4"/>
      </w:tcPr>
    </w:tblStylePr>
    <w:tblStylePr w:type="lastRow">
      <w:pPr>
        <w:spacing w:before="0" w:after="0"/>
      </w:pPr>
      <w:rPr>
        <w:rFonts w:cs="Times New Roman"/>
        <w:b/>
        <w:bCs/>
      </w:rPr>
      <w:tblPr/>
      <w:tcPr>
        <w:tcBorders>
          <w:top w:val="double" w:sz="6" w:space="0" w:color="8798C6"/>
          <w:left w:val="single" w:sz="8" w:space="0" w:color="8798C6"/>
          <w:bottom w:val="single" w:sz="8" w:space="0" w:color="8798C6"/>
          <w:right w:val="single" w:sz="8" w:space="0" w:color="8798C6"/>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CEC"/>
      </w:tcPr>
    </w:tblStylePr>
    <w:tblStylePr w:type="band1Horz">
      <w:rPr>
        <w:rFonts w:cs="Times New Roman"/>
      </w:rPr>
      <w:tblPr/>
      <w:tcPr>
        <w:tcBorders>
          <w:insideH w:val="nil"/>
          <w:insideV w:val="nil"/>
        </w:tcBorders>
        <w:shd w:val="clear" w:color="auto" w:fill="D7DCEC"/>
      </w:tcPr>
    </w:tblStylePr>
    <w:tblStylePr w:type="band2Horz">
      <w:rPr>
        <w:rFonts w:cs="Times New Roman"/>
      </w:rPr>
      <w:tblPr/>
      <w:tcPr>
        <w:tcBorders>
          <w:insideH w:val="nil"/>
          <w:insideV w:val="nil"/>
        </w:tcBorders>
      </w:tcPr>
    </w:tblStylePr>
  </w:style>
  <w:style w:type="table" w:customStyle="1" w:styleId="ColorfulGrid-Accent61">
    <w:name w:val="Colorful Grid - Accent 61"/>
    <w:basedOn w:val="TableNormal"/>
    <w:uiPriority w:val="99"/>
    <w:rsid w:val="0053305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5808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758085"/>
      </w:tcPr>
    </w:tblStylePr>
    <w:tblStylePr w:type="lastCol">
      <w:rPr>
        <w:rFonts w:cs="Times New Roman"/>
        <w:b/>
        <w:bCs/>
        <w:color w:val="FFFFFF"/>
      </w:rPr>
      <w:tblPr/>
      <w:tcPr>
        <w:tcBorders>
          <w:left w:val="nil"/>
          <w:right w:val="nil"/>
          <w:insideH w:val="nil"/>
          <w:insideV w:val="nil"/>
        </w:tcBorders>
        <w:shd w:val="clear" w:color="auto" w:fill="75808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99"/>
    <w:rsid w:val="0053305D"/>
    <w:tblPr>
      <w:tblStyleRowBandSize w:val="1"/>
      <w:tblStyleColBandSize w:val="1"/>
      <w:tblInd w:w="0" w:type="dxa"/>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6076B4"/>
          <w:left w:val="single" w:sz="8" w:space="0" w:color="6076B4"/>
          <w:bottom w:val="single" w:sz="18" w:space="0" w:color="6076B4"/>
          <w:right w:val="single" w:sz="8" w:space="0" w:color="6076B4"/>
          <w:insideH w:val="nil"/>
          <w:insideV w:val="single" w:sz="8" w:space="0" w:color="6076B4"/>
        </w:tcBorders>
      </w:tcPr>
    </w:tblStylePr>
    <w:tblStylePr w:type="lastRow">
      <w:pPr>
        <w:spacing w:before="0" w:after="0"/>
      </w:pPr>
      <w:rPr>
        <w:rFonts w:ascii="Times New Roman" w:eastAsia="Times New Roman" w:hAnsi="Times New Roman" w:cs="Times New Roman"/>
        <w:b/>
        <w:bCs/>
      </w:rPr>
      <w:tblPr/>
      <w:tcPr>
        <w:tcBorders>
          <w:top w:val="double" w:sz="6" w:space="0" w:color="6076B4"/>
          <w:left w:val="single" w:sz="8" w:space="0" w:color="6076B4"/>
          <w:bottom w:val="single" w:sz="8" w:space="0" w:color="6076B4"/>
          <w:right w:val="single" w:sz="8" w:space="0" w:color="6076B4"/>
          <w:insideH w:val="nil"/>
          <w:insideV w:val="single" w:sz="8" w:space="0" w:color="6076B4"/>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6076B4"/>
          <w:left w:val="single" w:sz="8" w:space="0" w:color="6076B4"/>
          <w:bottom w:val="single" w:sz="8" w:space="0" w:color="6076B4"/>
          <w:right w:val="single" w:sz="8" w:space="0" w:color="6076B4"/>
        </w:tcBorders>
      </w:tcPr>
    </w:tblStylePr>
    <w:tblStylePr w:type="band1Vert">
      <w:rPr>
        <w:rFonts w:cs="Times New Roman"/>
      </w:rPr>
      <w:tblPr/>
      <w:tcPr>
        <w:tcBorders>
          <w:top w:val="single" w:sz="8" w:space="0" w:color="6076B4"/>
          <w:left w:val="single" w:sz="8" w:space="0" w:color="6076B4"/>
          <w:bottom w:val="single" w:sz="8" w:space="0" w:color="6076B4"/>
          <w:right w:val="single" w:sz="8" w:space="0" w:color="6076B4"/>
        </w:tcBorders>
        <w:shd w:val="clear" w:color="auto" w:fill="D7DCEC"/>
      </w:tcPr>
    </w:tblStylePr>
    <w:tblStylePr w:type="band1Horz">
      <w:rPr>
        <w:rFonts w:cs="Times New Roman"/>
      </w:rPr>
      <w:tblPr/>
      <w:tcPr>
        <w:tcBorders>
          <w:top w:val="single" w:sz="8" w:space="0" w:color="6076B4"/>
          <w:left w:val="single" w:sz="8" w:space="0" w:color="6076B4"/>
          <w:bottom w:val="single" w:sz="8" w:space="0" w:color="6076B4"/>
          <w:right w:val="single" w:sz="8" w:space="0" w:color="6076B4"/>
          <w:insideV w:val="single" w:sz="8" w:space="0" w:color="6076B4"/>
        </w:tcBorders>
        <w:shd w:val="clear" w:color="auto" w:fill="D7DCEC"/>
      </w:tcPr>
    </w:tblStylePr>
    <w:tblStylePr w:type="band2Horz">
      <w:rPr>
        <w:rFonts w:cs="Times New Roman"/>
      </w:rPr>
      <w:tblPr/>
      <w:tcPr>
        <w:tcBorders>
          <w:top w:val="single" w:sz="8" w:space="0" w:color="6076B4"/>
          <w:left w:val="single" w:sz="8" w:space="0" w:color="6076B4"/>
          <w:bottom w:val="single" w:sz="8" w:space="0" w:color="6076B4"/>
          <w:right w:val="single" w:sz="8" w:space="0" w:color="6076B4"/>
          <w:insideV w:val="single" w:sz="8" w:space="0" w:color="6076B4"/>
        </w:tcBorders>
      </w:tcPr>
    </w:tblStylePr>
  </w:style>
  <w:style w:type="paragraph" w:styleId="NormalWeb">
    <w:name w:val="Normal (Web)"/>
    <w:basedOn w:val="Normal"/>
    <w:uiPriority w:val="99"/>
    <w:rsid w:val="00BB3770"/>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rsid w:val="007A2CEC"/>
    <w:rPr>
      <w:rFonts w:cs="Times New Roman"/>
      <w:color w:val="B2B2B2"/>
      <w:u w:val="single"/>
    </w:rPr>
  </w:style>
  <w:style w:type="paragraph" w:styleId="EndnoteText">
    <w:name w:val="endnote text"/>
    <w:basedOn w:val="Normal"/>
    <w:link w:val="EndnoteTextChar"/>
    <w:uiPriority w:val="99"/>
    <w:semiHidden/>
    <w:rsid w:val="003D7A27"/>
    <w:pPr>
      <w:spacing w:after="0" w:line="240" w:lineRule="auto"/>
    </w:pPr>
    <w:rPr>
      <w:sz w:val="20"/>
      <w:szCs w:val="20"/>
      <w:lang w:val="x-none" w:eastAsia="x-none"/>
    </w:rPr>
  </w:style>
  <w:style w:type="character" w:customStyle="1" w:styleId="EndnoteTextChar">
    <w:name w:val="Endnote Text Char"/>
    <w:link w:val="EndnoteText"/>
    <w:uiPriority w:val="99"/>
    <w:semiHidden/>
    <w:locked/>
    <w:rsid w:val="003D7A27"/>
    <w:rPr>
      <w:sz w:val="20"/>
    </w:rPr>
  </w:style>
  <w:style w:type="character" w:styleId="EndnoteReference">
    <w:name w:val="endnote reference"/>
    <w:uiPriority w:val="99"/>
    <w:semiHidden/>
    <w:rsid w:val="003D7A27"/>
    <w:rPr>
      <w:rFonts w:cs="Times New Roman"/>
      <w:vertAlign w:val="superscript"/>
    </w:rPr>
  </w:style>
  <w:style w:type="paragraph" w:styleId="TOC1">
    <w:name w:val="toc 1"/>
    <w:basedOn w:val="Normal"/>
    <w:next w:val="Normal"/>
    <w:autoRedefine/>
    <w:uiPriority w:val="39"/>
    <w:rsid w:val="000F79D8"/>
    <w:pPr>
      <w:spacing w:after="100"/>
    </w:pPr>
  </w:style>
  <w:style w:type="paragraph" w:styleId="TOC2">
    <w:name w:val="toc 2"/>
    <w:basedOn w:val="Normal"/>
    <w:next w:val="Normal"/>
    <w:autoRedefine/>
    <w:uiPriority w:val="39"/>
    <w:rsid w:val="00BE0244"/>
    <w:pPr>
      <w:tabs>
        <w:tab w:val="right" w:leader="dot" w:pos="9350"/>
      </w:tabs>
      <w:spacing w:after="100"/>
      <w:ind w:left="450" w:hanging="230"/>
    </w:pPr>
  </w:style>
  <w:style w:type="paragraph" w:styleId="TOC3">
    <w:name w:val="toc 3"/>
    <w:basedOn w:val="Normal"/>
    <w:next w:val="Normal"/>
    <w:autoRedefine/>
    <w:uiPriority w:val="39"/>
    <w:rsid w:val="000F79D8"/>
    <w:pPr>
      <w:spacing w:after="100"/>
      <w:ind w:left="440"/>
    </w:pPr>
  </w:style>
  <w:style w:type="table" w:customStyle="1" w:styleId="IntenseQuote1">
    <w:name w:val="Intense Quote1"/>
    <w:uiPriority w:val="99"/>
    <w:rsid w:val="00E21E76"/>
    <w:rPr>
      <w:color w:val="42558C"/>
    </w:rPr>
    <w:tblPr>
      <w:tblStyleRowBandSize w:val="1"/>
      <w:tblStyleColBandSize w:val="1"/>
      <w:tblInd w:w="0" w:type="dxa"/>
      <w:tblBorders>
        <w:top w:val="single" w:sz="8" w:space="0" w:color="6076B4"/>
        <w:bottom w:val="single" w:sz="8" w:space="0" w:color="6076B4"/>
      </w:tblBorders>
      <w:tblCellMar>
        <w:top w:w="0" w:type="dxa"/>
        <w:left w:w="108" w:type="dxa"/>
        <w:bottom w:w="0" w:type="dxa"/>
        <w:right w:w="108" w:type="dxa"/>
      </w:tblCellMar>
    </w:tblPr>
  </w:style>
  <w:style w:type="table" w:styleId="TableGrid">
    <w:name w:val="Table Grid"/>
    <w:basedOn w:val="TableNormal"/>
    <w:uiPriority w:val="99"/>
    <w:rsid w:val="00A204E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ent">
    <w:name w:val="content"/>
    <w:uiPriority w:val="99"/>
    <w:rsid w:val="00A204E5"/>
  </w:style>
  <w:style w:type="character" w:styleId="CommentReference">
    <w:name w:val="annotation reference"/>
    <w:uiPriority w:val="99"/>
    <w:semiHidden/>
    <w:rsid w:val="00DF228E"/>
    <w:rPr>
      <w:rFonts w:cs="Times New Roman"/>
      <w:sz w:val="16"/>
    </w:rPr>
  </w:style>
  <w:style w:type="paragraph" w:styleId="CommentText">
    <w:name w:val="annotation text"/>
    <w:basedOn w:val="Normal"/>
    <w:link w:val="CommentTextChar"/>
    <w:uiPriority w:val="99"/>
    <w:semiHidden/>
    <w:rsid w:val="00DF228E"/>
    <w:pPr>
      <w:spacing w:line="240" w:lineRule="auto"/>
    </w:pPr>
    <w:rPr>
      <w:sz w:val="20"/>
      <w:szCs w:val="20"/>
      <w:lang w:val="x-none" w:eastAsia="x-none"/>
    </w:rPr>
  </w:style>
  <w:style w:type="character" w:customStyle="1" w:styleId="CommentTextChar">
    <w:name w:val="Comment Text Char"/>
    <w:link w:val="CommentText"/>
    <w:uiPriority w:val="99"/>
    <w:semiHidden/>
    <w:locked/>
    <w:rsid w:val="00DF228E"/>
    <w:rPr>
      <w:sz w:val="20"/>
    </w:rPr>
  </w:style>
  <w:style w:type="paragraph" w:styleId="CommentSubject">
    <w:name w:val="annotation subject"/>
    <w:basedOn w:val="CommentText"/>
    <w:next w:val="CommentText"/>
    <w:link w:val="CommentSubjectChar"/>
    <w:uiPriority w:val="99"/>
    <w:semiHidden/>
    <w:rsid w:val="00DF228E"/>
    <w:rPr>
      <w:b/>
    </w:rPr>
  </w:style>
  <w:style w:type="character" w:customStyle="1" w:styleId="CommentSubjectChar">
    <w:name w:val="Comment Subject Char"/>
    <w:link w:val="CommentSubject"/>
    <w:uiPriority w:val="99"/>
    <w:semiHidden/>
    <w:locked/>
    <w:rsid w:val="00DF228E"/>
    <w:rPr>
      <w:b/>
      <w:sz w:val="20"/>
    </w:rPr>
  </w:style>
  <w:style w:type="paragraph" w:customStyle="1" w:styleId="ColorfulShading-Accent11">
    <w:name w:val="Colorful Shading - Accent 11"/>
    <w:hidden/>
    <w:uiPriority w:val="99"/>
    <w:semiHidden/>
    <w:rsid w:val="00502BCE"/>
    <w:rPr>
      <w:sz w:val="22"/>
      <w:szCs w:val="22"/>
    </w:rPr>
  </w:style>
  <w:style w:type="paragraph" w:customStyle="1" w:styleId="DefaultParagraph">
    <w:name w:val="DefaultParagraph"/>
    <w:uiPriority w:val="99"/>
    <w:rsid w:val="0021352D"/>
    <w:pPr>
      <w:widowControl w:val="0"/>
      <w:autoSpaceDE w:val="0"/>
      <w:autoSpaceDN w:val="0"/>
      <w:adjustRightInd w:val="0"/>
    </w:pPr>
    <w:rPr>
      <w:rFonts w:ascii="Calibri" w:hAnsi="Calibri"/>
      <w:lang w:eastAsia="ja-JP"/>
    </w:rPr>
  </w:style>
  <w:style w:type="character" w:customStyle="1" w:styleId="arial1">
    <w:name w:val="arial1"/>
    <w:uiPriority w:val="99"/>
    <w:rsid w:val="009E0392"/>
  </w:style>
  <w:style w:type="character" w:customStyle="1" w:styleId="profileheader">
    <w:name w:val="profileheader"/>
    <w:uiPriority w:val="99"/>
    <w:rsid w:val="009E0392"/>
  </w:style>
  <w:style w:type="character" w:customStyle="1" w:styleId="menu1">
    <w:name w:val="menu1"/>
    <w:uiPriority w:val="99"/>
    <w:rsid w:val="009010FE"/>
  </w:style>
  <w:style w:type="character" w:customStyle="1" w:styleId="menu2">
    <w:name w:val="menu2"/>
    <w:uiPriority w:val="99"/>
    <w:rsid w:val="009010FE"/>
  </w:style>
  <w:style w:type="table" w:customStyle="1" w:styleId="IntenseReference2">
    <w:name w:val="Intense Reference2"/>
    <w:uiPriority w:val="99"/>
    <w:rsid w:val="00B153D3"/>
    <w:rPr>
      <w:rFonts w:ascii="Calibri" w:eastAsia="MS Gothic" w:hAnsi="Calibri"/>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TOCHeading2">
    <w:name w:val="TOC Heading2"/>
    <w:uiPriority w:val="99"/>
    <w:rsid w:val="00B153D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BookTitle2">
    <w:name w:val="Book Title2"/>
    <w:basedOn w:val="TableNormal"/>
    <w:uiPriority w:val="99"/>
    <w:qFormat/>
    <w:rsid w:val="00B153D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Grid3-Accent4">
    <w:name w:val="Medium Grid 3 Accent 4"/>
    <w:basedOn w:val="TableNormal"/>
    <w:uiPriority w:val="99"/>
    <w:rsid w:val="00B153D3"/>
    <w:rPr>
      <w:rFonts w:ascii="Calibri" w:eastAsia="MS Gothic"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Bibliography1">
    <w:name w:val="Bibliography1"/>
    <w:basedOn w:val="TableNormal"/>
    <w:uiPriority w:val="99"/>
    <w:rsid w:val="00B153D3"/>
    <w:rPr>
      <w:rFonts w:ascii="Calibri" w:eastAsia="MS Gothic"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olorfulList-Accent4">
    <w:name w:val="Colorful List Accent 4"/>
    <w:basedOn w:val="TableNormal"/>
    <w:uiPriority w:val="99"/>
    <w:rsid w:val="00B153D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DarkList-Accent4">
    <w:name w:val="Dark List Accent 4"/>
    <w:basedOn w:val="TableNormal"/>
    <w:uiPriority w:val="99"/>
    <w:rsid w:val="00B153D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TOCHeading3">
    <w:name w:val="TOC Heading3"/>
    <w:basedOn w:val="Heading1"/>
    <w:next w:val="Normal"/>
    <w:uiPriority w:val="39"/>
    <w:qFormat/>
    <w:rsid w:val="006A3A52"/>
    <w:pPr>
      <w:keepNext/>
      <w:keepLines/>
      <w:pBdr>
        <w:bottom w:val="none" w:sz="0" w:space="0" w:color="auto"/>
      </w:pBdr>
      <w:spacing w:before="480" w:after="0" w:line="276" w:lineRule="auto"/>
      <w:jc w:val="left"/>
      <w:outlineLvl w:val="9"/>
    </w:pPr>
    <w:rPr>
      <w:rFonts w:eastAsia="MS Gothic"/>
      <w:b/>
      <w:bCs/>
      <w:caps w:val="0"/>
      <w:color w:val="365F91"/>
      <w:spacing w:val="0"/>
      <w:lang w:eastAsia="ja-JP"/>
    </w:rPr>
  </w:style>
  <w:style w:type="paragraph" w:customStyle="1" w:styleId="MediumGrid1-Accent21">
    <w:name w:val="Medium Grid 1 - Accent 21"/>
    <w:basedOn w:val="Normal"/>
    <w:uiPriority w:val="99"/>
    <w:qFormat/>
    <w:rsid w:val="00FB7417"/>
    <w:pPr>
      <w:ind w:left="720"/>
    </w:pPr>
  </w:style>
  <w:style w:type="paragraph" w:styleId="MediumGrid1-Accent2">
    <w:name w:val="Medium Grid 1 Accent 2"/>
    <w:basedOn w:val="Normal"/>
    <w:uiPriority w:val="34"/>
    <w:qFormat/>
    <w:rsid w:val="001401EC"/>
    <w:pPr>
      <w:ind w:left="720"/>
    </w:pPr>
  </w:style>
  <w:style w:type="table" w:customStyle="1" w:styleId="LightShading2">
    <w:name w:val="Light Shading2"/>
    <w:basedOn w:val="TableNormal"/>
    <w:uiPriority w:val="60"/>
    <w:rsid w:val="008E6A0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E6A0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8E6A0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Event">
    <w:name w:val="Event"/>
    <w:basedOn w:val="Normal"/>
    <w:qFormat/>
    <w:rsid w:val="00564C26"/>
    <w:pPr>
      <w:spacing w:after="80" w:line="240" w:lineRule="auto"/>
    </w:pPr>
    <w:rPr>
      <w:rFonts w:ascii="Calibri" w:hAnsi="Calibri"/>
      <w:sz w:val="18"/>
    </w:rPr>
  </w:style>
  <w:style w:type="paragraph" w:customStyle="1" w:styleId="AdditionalInformation">
    <w:name w:val="Additional Information"/>
    <w:basedOn w:val="Normal"/>
    <w:qFormat/>
    <w:rsid w:val="00564C26"/>
    <w:pPr>
      <w:spacing w:after="120" w:line="336" w:lineRule="auto"/>
    </w:pPr>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5013">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909384755">
      <w:bodyDiv w:val="1"/>
      <w:marLeft w:val="0"/>
      <w:marRight w:val="0"/>
      <w:marTop w:val="0"/>
      <w:marBottom w:val="0"/>
      <w:divBdr>
        <w:top w:val="none" w:sz="0" w:space="0" w:color="auto"/>
        <w:left w:val="none" w:sz="0" w:space="0" w:color="auto"/>
        <w:bottom w:val="none" w:sz="0" w:space="0" w:color="auto"/>
        <w:right w:val="none" w:sz="0" w:space="0" w:color="auto"/>
      </w:divBdr>
      <w:divsChild>
        <w:div w:id="625090844">
          <w:marLeft w:val="0"/>
          <w:marRight w:val="0"/>
          <w:marTop w:val="0"/>
          <w:marBottom w:val="0"/>
          <w:divBdr>
            <w:top w:val="none" w:sz="0" w:space="0" w:color="auto"/>
            <w:left w:val="none" w:sz="0" w:space="0" w:color="auto"/>
            <w:bottom w:val="none" w:sz="0" w:space="0" w:color="auto"/>
            <w:right w:val="none" w:sz="0" w:space="0" w:color="auto"/>
          </w:divBdr>
          <w:divsChild>
            <w:div w:id="723138431">
              <w:marLeft w:val="0"/>
              <w:marRight w:val="0"/>
              <w:marTop w:val="0"/>
              <w:marBottom w:val="0"/>
              <w:divBdr>
                <w:top w:val="none" w:sz="0" w:space="0" w:color="auto"/>
                <w:left w:val="none" w:sz="0" w:space="0" w:color="auto"/>
                <w:bottom w:val="none" w:sz="0" w:space="0" w:color="auto"/>
                <w:right w:val="none" w:sz="0" w:space="0" w:color="auto"/>
              </w:divBdr>
              <w:divsChild>
                <w:div w:id="1740133980">
                  <w:marLeft w:val="0"/>
                  <w:marRight w:val="0"/>
                  <w:marTop w:val="0"/>
                  <w:marBottom w:val="0"/>
                  <w:divBdr>
                    <w:top w:val="none" w:sz="0" w:space="0" w:color="auto"/>
                    <w:left w:val="none" w:sz="0" w:space="0" w:color="auto"/>
                    <w:bottom w:val="none" w:sz="0" w:space="0" w:color="auto"/>
                    <w:right w:val="none" w:sz="0" w:space="0" w:color="auto"/>
                  </w:divBdr>
                  <w:divsChild>
                    <w:div w:id="11540855">
                      <w:marLeft w:val="0"/>
                      <w:marRight w:val="0"/>
                      <w:marTop w:val="0"/>
                      <w:marBottom w:val="0"/>
                      <w:divBdr>
                        <w:top w:val="none" w:sz="0" w:space="0" w:color="auto"/>
                        <w:left w:val="none" w:sz="0" w:space="0" w:color="auto"/>
                        <w:bottom w:val="none" w:sz="0" w:space="0" w:color="auto"/>
                        <w:right w:val="none" w:sz="0" w:space="0" w:color="auto"/>
                      </w:divBdr>
                      <w:divsChild>
                        <w:div w:id="396511183">
                          <w:marLeft w:val="0"/>
                          <w:marRight w:val="0"/>
                          <w:marTop w:val="0"/>
                          <w:marBottom w:val="0"/>
                          <w:divBdr>
                            <w:top w:val="none" w:sz="0" w:space="0" w:color="auto"/>
                            <w:left w:val="none" w:sz="0" w:space="0" w:color="auto"/>
                            <w:bottom w:val="none" w:sz="0" w:space="0" w:color="auto"/>
                            <w:right w:val="none" w:sz="0" w:space="0" w:color="auto"/>
                          </w:divBdr>
                          <w:divsChild>
                            <w:div w:id="1618099031">
                              <w:marLeft w:val="0"/>
                              <w:marRight w:val="0"/>
                              <w:marTop w:val="0"/>
                              <w:marBottom w:val="0"/>
                              <w:divBdr>
                                <w:top w:val="none" w:sz="0" w:space="0" w:color="auto"/>
                                <w:left w:val="none" w:sz="0" w:space="0" w:color="auto"/>
                                <w:bottom w:val="none" w:sz="0" w:space="0" w:color="auto"/>
                                <w:right w:val="none" w:sz="0" w:space="0" w:color="auto"/>
                              </w:divBdr>
                              <w:divsChild>
                                <w:div w:id="1704287217">
                                  <w:marLeft w:val="0"/>
                                  <w:marRight w:val="0"/>
                                  <w:marTop w:val="0"/>
                                  <w:marBottom w:val="0"/>
                                  <w:divBdr>
                                    <w:top w:val="none" w:sz="0" w:space="0" w:color="auto"/>
                                    <w:left w:val="none" w:sz="0" w:space="0" w:color="auto"/>
                                    <w:bottom w:val="none" w:sz="0" w:space="0" w:color="auto"/>
                                    <w:right w:val="none" w:sz="0" w:space="0" w:color="auto"/>
                                  </w:divBdr>
                                  <w:divsChild>
                                    <w:div w:id="288362880">
                                      <w:marLeft w:val="0"/>
                                      <w:marRight w:val="0"/>
                                      <w:marTop w:val="0"/>
                                      <w:marBottom w:val="0"/>
                                      <w:divBdr>
                                        <w:top w:val="none" w:sz="0" w:space="0" w:color="auto"/>
                                        <w:left w:val="none" w:sz="0" w:space="0" w:color="auto"/>
                                        <w:bottom w:val="none" w:sz="0" w:space="0" w:color="auto"/>
                                        <w:right w:val="none" w:sz="0" w:space="0" w:color="auto"/>
                                      </w:divBdr>
                                    </w:div>
                                    <w:div w:id="17438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923364">
      <w:bodyDiv w:val="1"/>
      <w:marLeft w:val="0"/>
      <w:marRight w:val="0"/>
      <w:marTop w:val="0"/>
      <w:marBottom w:val="0"/>
      <w:divBdr>
        <w:top w:val="none" w:sz="0" w:space="0" w:color="auto"/>
        <w:left w:val="none" w:sz="0" w:space="0" w:color="auto"/>
        <w:bottom w:val="none" w:sz="0" w:space="0" w:color="auto"/>
        <w:right w:val="none" w:sz="0" w:space="0" w:color="auto"/>
      </w:divBdr>
      <w:divsChild>
        <w:div w:id="1519075898">
          <w:marLeft w:val="0"/>
          <w:marRight w:val="0"/>
          <w:marTop w:val="0"/>
          <w:marBottom w:val="0"/>
          <w:divBdr>
            <w:top w:val="none" w:sz="0" w:space="0" w:color="auto"/>
            <w:left w:val="none" w:sz="0" w:space="0" w:color="auto"/>
            <w:bottom w:val="none" w:sz="0" w:space="0" w:color="auto"/>
            <w:right w:val="none" w:sz="0" w:space="0" w:color="auto"/>
          </w:divBdr>
          <w:divsChild>
            <w:div w:id="1662536231">
              <w:marLeft w:val="0"/>
              <w:marRight w:val="0"/>
              <w:marTop w:val="0"/>
              <w:marBottom w:val="0"/>
              <w:divBdr>
                <w:top w:val="none" w:sz="0" w:space="0" w:color="auto"/>
                <w:left w:val="none" w:sz="0" w:space="0" w:color="auto"/>
                <w:bottom w:val="none" w:sz="0" w:space="0" w:color="auto"/>
                <w:right w:val="none" w:sz="0" w:space="0" w:color="auto"/>
              </w:divBdr>
              <w:divsChild>
                <w:div w:id="1943341683">
                  <w:marLeft w:val="0"/>
                  <w:marRight w:val="0"/>
                  <w:marTop w:val="0"/>
                  <w:marBottom w:val="0"/>
                  <w:divBdr>
                    <w:top w:val="none" w:sz="0" w:space="0" w:color="auto"/>
                    <w:left w:val="none" w:sz="0" w:space="0" w:color="auto"/>
                    <w:bottom w:val="none" w:sz="0" w:space="0" w:color="auto"/>
                    <w:right w:val="none" w:sz="0" w:space="0" w:color="auto"/>
                  </w:divBdr>
                  <w:divsChild>
                    <w:div w:id="889220470">
                      <w:marLeft w:val="0"/>
                      <w:marRight w:val="0"/>
                      <w:marTop w:val="0"/>
                      <w:marBottom w:val="0"/>
                      <w:divBdr>
                        <w:top w:val="none" w:sz="0" w:space="0" w:color="auto"/>
                        <w:left w:val="none" w:sz="0" w:space="0" w:color="auto"/>
                        <w:bottom w:val="none" w:sz="0" w:space="0" w:color="auto"/>
                        <w:right w:val="none" w:sz="0" w:space="0" w:color="auto"/>
                      </w:divBdr>
                      <w:divsChild>
                        <w:div w:id="1544319482">
                          <w:marLeft w:val="0"/>
                          <w:marRight w:val="0"/>
                          <w:marTop w:val="0"/>
                          <w:marBottom w:val="0"/>
                          <w:divBdr>
                            <w:top w:val="none" w:sz="0" w:space="0" w:color="auto"/>
                            <w:left w:val="none" w:sz="0" w:space="0" w:color="auto"/>
                            <w:bottom w:val="none" w:sz="0" w:space="0" w:color="auto"/>
                            <w:right w:val="none" w:sz="0" w:space="0" w:color="auto"/>
                          </w:divBdr>
                          <w:divsChild>
                            <w:div w:id="182473286">
                              <w:marLeft w:val="0"/>
                              <w:marRight w:val="0"/>
                              <w:marTop w:val="0"/>
                              <w:marBottom w:val="0"/>
                              <w:divBdr>
                                <w:top w:val="none" w:sz="0" w:space="0" w:color="auto"/>
                                <w:left w:val="none" w:sz="0" w:space="0" w:color="auto"/>
                                <w:bottom w:val="none" w:sz="0" w:space="0" w:color="auto"/>
                                <w:right w:val="none" w:sz="0" w:space="0" w:color="auto"/>
                              </w:divBdr>
                              <w:divsChild>
                                <w:div w:id="291208314">
                                  <w:marLeft w:val="0"/>
                                  <w:marRight w:val="0"/>
                                  <w:marTop w:val="0"/>
                                  <w:marBottom w:val="0"/>
                                  <w:divBdr>
                                    <w:top w:val="none" w:sz="0" w:space="0" w:color="auto"/>
                                    <w:left w:val="none" w:sz="0" w:space="0" w:color="auto"/>
                                    <w:bottom w:val="none" w:sz="0" w:space="0" w:color="auto"/>
                                    <w:right w:val="none" w:sz="0" w:space="0" w:color="auto"/>
                                  </w:divBdr>
                                  <w:divsChild>
                                    <w:div w:id="718090498">
                                      <w:marLeft w:val="0"/>
                                      <w:marRight w:val="0"/>
                                      <w:marTop w:val="0"/>
                                      <w:marBottom w:val="0"/>
                                      <w:divBdr>
                                        <w:top w:val="none" w:sz="0" w:space="0" w:color="auto"/>
                                        <w:left w:val="none" w:sz="0" w:space="0" w:color="auto"/>
                                        <w:bottom w:val="none" w:sz="0" w:space="0" w:color="auto"/>
                                        <w:right w:val="none" w:sz="0" w:space="0" w:color="auto"/>
                                      </w:divBdr>
                                    </w:div>
                                    <w:div w:id="10501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890691">
      <w:bodyDiv w:val="1"/>
      <w:marLeft w:val="0"/>
      <w:marRight w:val="0"/>
      <w:marTop w:val="0"/>
      <w:marBottom w:val="0"/>
      <w:divBdr>
        <w:top w:val="none" w:sz="0" w:space="0" w:color="auto"/>
        <w:left w:val="none" w:sz="0" w:space="0" w:color="auto"/>
        <w:bottom w:val="none" w:sz="0" w:space="0" w:color="auto"/>
        <w:right w:val="none" w:sz="0" w:space="0" w:color="auto"/>
      </w:divBdr>
    </w:div>
    <w:div w:id="1661155240">
      <w:marLeft w:val="0"/>
      <w:marRight w:val="0"/>
      <w:marTop w:val="0"/>
      <w:marBottom w:val="0"/>
      <w:divBdr>
        <w:top w:val="none" w:sz="0" w:space="0" w:color="auto"/>
        <w:left w:val="none" w:sz="0" w:space="0" w:color="auto"/>
        <w:bottom w:val="none" w:sz="0" w:space="0" w:color="auto"/>
        <w:right w:val="none" w:sz="0" w:space="0" w:color="auto"/>
      </w:divBdr>
    </w:div>
    <w:div w:id="1661155241">
      <w:marLeft w:val="0"/>
      <w:marRight w:val="0"/>
      <w:marTop w:val="0"/>
      <w:marBottom w:val="0"/>
      <w:divBdr>
        <w:top w:val="none" w:sz="0" w:space="0" w:color="auto"/>
        <w:left w:val="none" w:sz="0" w:space="0" w:color="auto"/>
        <w:bottom w:val="none" w:sz="0" w:space="0" w:color="auto"/>
        <w:right w:val="none" w:sz="0" w:space="0" w:color="auto"/>
      </w:divBdr>
    </w:div>
    <w:div w:id="1661155242">
      <w:marLeft w:val="0"/>
      <w:marRight w:val="0"/>
      <w:marTop w:val="0"/>
      <w:marBottom w:val="0"/>
      <w:divBdr>
        <w:top w:val="none" w:sz="0" w:space="0" w:color="auto"/>
        <w:left w:val="none" w:sz="0" w:space="0" w:color="auto"/>
        <w:bottom w:val="none" w:sz="0" w:space="0" w:color="auto"/>
        <w:right w:val="none" w:sz="0" w:space="0" w:color="auto"/>
      </w:divBdr>
    </w:div>
    <w:div w:id="1661155243">
      <w:marLeft w:val="0"/>
      <w:marRight w:val="0"/>
      <w:marTop w:val="0"/>
      <w:marBottom w:val="0"/>
      <w:divBdr>
        <w:top w:val="none" w:sz="0" w:space="0" w:color="auto"/>
        <w:left w:val="none" w:sz="0" w:space="0" w:color="auto"/>
        <w:bottom w:val="none" w:sz="0" w:space="0" w:color="auto"/>
        <w:right w:val="none" w:sz="0" w:space="0" w:color="auto"/>
      </w:divBdr>
    </w:div>
    <w:div w:id="1661155244">
      <w:marLeft w:val="0"/>
      <w:marRight w:val="0"/>
      <w:marTop w:val="0"/>
      <w:marBottom w:val="0"/>
      <w:divBdr>
        <w:top w:val="none" w:sz="0" w:space="0" w:color="auto"/>
        <w:left w:val="none" w:sz="0" w:space="0" w:color="auto"/>
        <w:bottom w:val="none" w:sz="0" w:space="0" w:color="auto"/>
        <w:right w:val="none" w:sz="0" w:space="0" w:color="auto"/>
      </w:divBdr>
    </w:div>
    <w:div w:id="1661155245">
      <w:marLeft w:val="0"/>
      <w:marRight w:val="0"/>
      <w:marTop w:val="0"/>
      <w:marBottom w:val="0"/>
      <w:divBdr>
        <w:top w:val="none" w:sz="0" w:space="0" w:color="auto"/>
        <w:left w:val="none" w:sz="0" w:space="0" w:color="auto"/>
        <w:bottom w:val="none" w:sz="0" w:space="0" w:color="auto"/>
        <w:right w:val="none" w:sz="0" w:space="0" w:color="auto"/>
      </w:divBdr>
    </w:div>
    <w:div w:id="1661155247">
      <w:marLeft w:val="0"/>
      <w:marRight w:val="0"/>
      <w:marTop w:val="0"/>
      <w:marBottom w:val="0"/>
      <w:divBdr>
        <w:top w:val="none" w:sz="0" w:space="0" w:color="auto"/>
        <w:left w:val="none" w:sz="0" w:space="0" w:color="auto"/>
        <w:bottom w:val="none" w:sz="0" w:space="0" w:color="auto"/>
        <w:right w:val="none" w:sz="0" w:space="0" w:color="auto"/>
      </w:divBdr>
    </w:div>
    <w:div w:id="1661155248">
      <w:marLeft w:val="0"/>
      <w:marRight w:val="0"/>
      <w:marTop w:val="0"/>
      <w:marBottom w:val="0"/>
      <w:divBdr>
        <w:top w:val="none" w:sz="0" w:space="0" w:color="auto"/>
        <w:left w:val="none" w:sz="0" w:space="0" w:color="auto"/>
        <w:bottom w:val="none" w:sz="0" w:space="0" w:color="auto"/>
        <w:right w:val="none" w:sz="0" w:space="0" w:color="auto"/>
      </w:divBdr>
      <w:divsChild>
        <w:div w:id="1661155246">
          <w:marLeft w:val="0"/>
          <w:marRight w:val="0"/>
          <w:marTop w:val="0"/>
          <w:marBottom w:val="0"/>
          <w:divBdr>
            <w:top w:val="none" w:sz="0" w:space="0" w:color="auto"/>
            <w:left w:val="none" w:sz="0" w:space="0" w:color="auto"/>
            <w:bottom w:val="none" w:sz="0" w:space="0" w:color="auto"/>
            <w:right w:val="none" w:sz="0" w:space="0" w:color="auto"/>
          </w:divBdr>
        </w:div>
      </w:divsChild>
    </w:div>
    <w:div w:id="1661155249">
      <w:marLeft w:val="0"/>
      <w:marRight w:val="0"/>
      <w:marTop w:val="0"/>
      <w:marBottom w:val="0"/>
      <w:divBdr>
        <w:top w:val="none" w:sz="0" w:space="0" w:color="auto"/>
        <w:left w:val="none" w:sz="0" w:space="0" w:color="auto"/>
        <w:bottom w:val="none" w:sz="0" w:space="0" w:color="auto"/>
        <w:right w:val="none" w:sz="0" w:space="0" w:color="auto"/>
      </w:divBdr>
    </w:div>
    <w:div w:id="1661155250">
      <w:marLeft w:val="0"/>
      <w:marRight w:val="0"/>
      <w:marTop w:val="0"/>
      <w:marBottom w:val="0"/>
      <w:divBdr>
        <w:top w:val="none" w:sz="0" w:space="0" w:color="auto"/>
        <w:left w:val="none" w:sz="0" w:space="0" w:color="auto"/>
        <w:bottom w:val="none" w:sz="0" w:space="0" w:color="auto"/>
        <w:right w:val="none" w:sz="0" w:space="0" w:color="auto"/>
      </w:divBdr>
    </w:div>
    <w:div w:id="1661155251">
      <w:marLeft w:val="0"/>
      <w:marRight w:val="0"/>
      <w:marTop w:val="0"/>
      <w:marBottom w:val="0"/>
      <w:divBdr>
        <w:top w:val="none" w:sz="0" w:space="0" w:color="auto"/>
        <w:left w:val="none" w:sz="0" w:space="0" w:color="auto"/>
        <w:bottom w:val="none" w:sz="0" w:space="0" w:color="auto"/>
        <w:right w:val="none" w:sz="0" w:space="0" w:color="auto"/>
      </w:divBdr>
    </w:div>
    <w:div w:id="1661155252">
      <w:marLeft w:val="0"/>
      <w:marRight w:val="0"/>
      <w:marTop w:val="0"/>
      <w:marBottom w:val="0"/>
      <w:divBdr>
        <w:top w:val="none" w:sz="0" w:space="0" w:color="auto"/>
        <w:left w:val="none" w:sz="0" w:space="0" w:color="auto"/>
        <w:bottom w:val="none" w:sz="0" w:space="0" w:color="auto"/>
        <w:right w:val="none" w:sz="0" w:space="0" w:color="auto"/>
      </w:divBdr>
    </w:div>
    <w:div w:id="1661155253">
      <w:marLeft w:val="0"/>
      <w:marRight w:val="0"/>
      <w:marTop w:val="0"/>
      <w:marBottom w:val="0"/>
      <w:divBdr>
        <w:top w:val="none" w:sz="0" w:space="0" w:color="auto"/>
        <w:left w:val="none" w:sz="0" w:space="0" w:color="auto"/>
        <w:bottom w:val="none" w:sz="0" w:space="0" w:color="auto"/>
        <w:right w:val="none" w:sz="0" w:space="0" w:color="auto"/>
      </w:divBdr>
    </w:div>
    <w:div w:id="1661155254">
      <w:marLeft w:val="0"/>
      <w:marRight w:val="0"/>
      <w:marTop w:val="0"/>
      <w:marBottom w:val="0"/>
      <w:divBdr>
        <w:top w:val="none" w:sz="0" w:space="0" w:color="auto"/>
        <w:left w:val="none" w:sz="0" w:space="0" w:color="auto"/>
        <w:bottom w:val="none" w:sz="0" w:space="0" w:color="auto"/>
        <w:right w:val="none" w:sz="0" w:space="0" w:color="auto"/>
      </w:divBdr>
    </w:div>
    <w:div w:id="1661155255">
      <w:marLeft w:val="0"/>
      <w:marRight w:val="0"/>
      <w:marTop w:val="0"/>
      <w:marBottom w:val="0"/>
      <w:divBdr>
        <w:top w:val="none" w:sz="0" w:space="0" w:color="auto"/>
        <w:left w:val="none" w:sz="0" w:space="0" w:color="auto"/>
        <w:bottom w:val="none" w:sz="0" w:space="0" w:color="auto"/>
        <w:right w:val="none" w:sz="0" w:space="0" w:color="auto"/>
      </w:divBdr>
    </w:div>
    <w:div w:id="1661155256">
      <w:marLeft w:val="0"/>
      <w:marRight w:val="0"/>
      <w:marTop w:val="0"/>
      <w:marBottom w:val="0"/>
      <w:divBdr>
        <w:top w:val="none" w:sz="0" w:space="0" w:color="auto"/>
        <w:left w:val="none" w:sz="0" w:space="0" w:color="auto"/>
        <w:bottom w:val="none" w:sz="0" w:space="0" w:color="auto"/>
        <w:right w:val="none" w:sz="0" w:space="0" w:color="auto"/>
      </w:divBdr>
    </w:div>
    <w:div w:id="1799756442">
      <w:bodyDiv w:val="1"/>
      <w:marLeft w:val="0"/>
      <w:marRight w:val="0"/>
      <w:marTop w:val="0"/>
      <w:marBottom w:val="0"/>
      <w:divBdr>
        <w:top w:val="none" w:sz="0" w:space="0" w:color="auto"/>
        <w:left w:val="none" w:sz="0" w:space="0" w:color="auto"/>
        <w:bottom w:val="none" w:sz="0" w:space="0" w:color="auto"/>
        <w:right w:val="none" w:sz="0" w:space="0" w:color="auto"/>
      </w:divBdr>
    </w:div>
    <w:div w:id="2078093131">
      <w:bodyDiv w:val="1"/>
      <w:marLeft w:val="0"/>
      <w:marRight w:val="0"/>
      <w:marTop w:val="0"/>
      <w:marBottom w:val="0"/>
      <w:divBdr>
        <w:top w:val="none" w:sz="0" w:space="0" w:color="auto"/>
        <w:left w:val="none" w:sz="0" w:space="0" w:color="auto"/>
        <w:bottom w:val="none" w:sz="0" w:space="0" w:color="auto"/>
        <w:right w:val="none" w:sz="0" w:space="0" w:color="auto"/>
      </w:divBdr>
    </w:div>
    <w:div w:id="20842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hyperlink" Target="http://www.kidscount.org" TargetMode="External"/><Relationship Id="rId39" Type="http://schemas.openxmlformats.org/officeDocument/2006/relationships/chart" Target="charts/chart19.xml"/><Relationship Id="rId21" Type="http://schemas.openxmlformats.org/officeDocument/2006/relationships/chart" Target="charts/chart10.xml"/><Relationship Id="rId34" Type="http://schemas.openxmlformats.org/officeDocument/2006/relationships/hyperlink" Target="http://datacenter.kidscount.org/data/bystate/stateprofile.aspx?state=KS&amp;cat=742&amp;group=Category&amp;loc=2865&amp;dt=1%2c3%2c2%2c4" TargetMode="External"/><Relationship Id="rId42" Type="http://schemas.openxmlformats.org/officeDocument/2006/relationships/hyperlink" Target="https://www.saintlukeshealthsystem.org/featured-service/cancer-services" TargetMode="External"/><Relationship Id="rId47" Type="http://schemas.openxmlformats.org/officeDocument/2006/relationships/hyperlink" Target="https://www.saintlukeshealthsystem.org/featured-service/home-care-hospice" TargetMode="External"/><Relationship Id="rId50" Type="http://schemas.openxmlformats.org/officeDocument/2006/relationships/hyperlink" Target="https://www.saintlukeshealthsystem.org/service/pain-management" TargetMode="External"/><Relationship Id="rId55" Type="http://schemas.openxmlformats.org/officeDocument/2006/relationships/hyperlink" Target="https://www.saintlukeshealthsystem.org/service/hedrick-medical-center-spiritual-wellness"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4.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hyperlink" Target="http://datacenter.kidscount.org/data/bystate/stateprofile.aspx?state=KS&amp;cat=742&amp;group=Category&amp;loc=2865&amp;dt=1%2c3%2c2%2c4" TargetMode="External"/><Relationship Id="rId37" Type="http://schemas.openxmlformats.org/officeDocument/2006/relationships/chart" Target="charts/chart18.xml"/><Relationship Id="rId40" Type="http://schemas.openxmlformats.org/officeDocument/2006/relationships/hyperlink" Target="http://www.communityhealth.hhs.gov/MeasuresOfBirthAndDeath.aspx?GeogCD=20103&amp;PeerStrat=45&amp;state=Kansas&amp;county=Leavenworth" TargetMode="External"/><Relationship Id="rId45" Type="http://schemas.openxmlformats.org/officeDocument/2006/relationships/hyperlink" Target="https://www.saintlukeshealthsystem.org/service/gastroenterology" TargetMode="External"/><Relationship Id="rId53" Type="http://schemas.openxmlformats.org/officeDocument/2006/relationships/hyperlink" Target="https://www.saintlukeshealthsystem.org/service/short-term-rehab-hedrick-medical-center" TargetMode="External"/><Relationship Id="rId58" Type="http://schemas.openxmlformats.org/officeDocument/2006/relationships/chart" Target="charts/chart20.xml"/><Relationship Id="rId5" Type="http://schemas.openxmlformats.org/officeDocument/2006/relationships/settings" Target="settings.xml"/><Relationship Id="rId61" Type="http://schemas.openxmlformats.org/officeDocument/2006/relationships/hyperlink" Target="http://www.wsoctv.com/health/9737364/detail.html" TargetMode="External"/><Relationship Id="rId19" Type="http://schemas.openxmlformats.org/officeDocument/2006/relationships/chart" Target="charts/chart8.xml"/><Relationship Id="rId14" Type="http://schemas.openxmlformats.org/officeDocument/2006/relationships/chart" Target="charts/chart4.xml"/><Relationship Id="rId22" Type="http://schemas.openxmlformats.org/officeDocument/2006/relationships/image" Target="media/image4.png"/><Relationship Id="rId27" Type="http://schemas.openxmlformats.org/officeDocument/2006/relationships/chart" Target="charts/chart13.xml"/><Relationship Id="rId30" Type="http://schemas.openxmlformats.org/officeDocument/2006/relationships/hyperlink" Target="http://datacenter.kidscount.org/data/bystate/stateprofile.aspx?state=KS&amp;cat=742&amp;group=Category&amp;loc=2865&amp;dt=1%2c3%2c2%2c4" TargetMode="External"/><Relationship Id="rId35" Type="http://schemas.openxmlformats.org/officeDocument/2006/relationships/chart" Target="charts/chart17.xml"/><Relationship Id="rId43" Type="http://schemas.openxmlformats.org/officeDocument/2006/relationships/hyperlink" Target="https://www.saintlukeshealthsystem.org/service/diabetes-centers" TargetMode="External"/><Relationship Id="rId48" Type="http://schemas.openxmlformats.org/officeDocument/2006/relationships/hyperlink" Target="https://www.saintlukeshealthsystem.org/laboratory-services" TargetMode="External"/><Relationship Id="rId56" Type="http://schemas.openxmlformats.org/officeDocument/2006/relationships/hyperlink" Target="https://www.saintlukeshealthsystem.org/service/hedrick-medical-center-surgical-services"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saintlukeshealthsystem.org/service/hedrick-medical-center-podiatry-services-foot-care"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3.emf"/><Relationship Id="rId25" Type="http://schemas.openxmlformats.org/officeDocument/2006/relationships/chart" Target="charts/chart12.xml"/><Relationship Id="rId33" Type="http://schemas.openxmlformats.org/officeDocument/2006/relationships/chart" Target="charts/chart16.xml"/><Relationship Id="rId38" Type="http://schemas.openxmlformats.org/officeDocument/2006/relationships/hyperlink" Target="http://datacenter.kidscount.org/data/bystate/stateprofile.aspx?state=KS&amp;cat=742&amp;group=Category&amp;loc=2865&amp;dt=1%2c3%2c2%2c4" TargetMode="External"/><Relationship Id="rId46" Type="http://schemas.openxmlformats.org/officeDocument/2006/relationships/hyperlink" Target="https://www.saintlukeshealthsystem.org/featured-service/heart-vascular" TargetMode="External"/><Relationship Id="rId59" Type="http://schemas.openxmlformats.org/officeDocument/2006/relationships/chart" Target="charts/chart21.xml"/><Relationship Id="rId20" Type="http://schemas.openxmlformats.org/officeDocument/2006/relationships/chart" Target="charts/chart9.xml"/><Relationship Id="rId41" Type="http://schemas.openxmlformats.org/officeDocument/2006/relationships/footer" Target="footer1.xml"/><Relationship Id="rId54" Type="http://schemas.openxmlformats.org/officeDocument/2006/relationships/hyperlink" Target="https://www.saintlukeshealthsystem.org/service/brain-stroke/sleep-disorder-treatment" TargetMode="External"/><Relationship Id="rId62" Type="http://schemas.openxmlformats.org/officeDocument/2006/relationships/hyperlink" Target="http://quickfacts.census.gov/qfd/states/20/20103.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5.png"/><Relationship Id="rId28" Type="http://schemas.openxmlformats.org/officeDocument/2006/relationships/hyperlink" Target="http://www.kidscount.org" TargetMode="External"/><Relationship Id="rId36" Type="http://schemas.openxmlformats.org/officeDocument/2006/relationships/hyperlink" Target="http://datacenter.kidscount.org/data/bystate/stateprofile.aspx?state=KS&amp;cat=742&amp;group=Category&amp;loc=2865&amp;dt=1%2c3%2c2%2c4" TargetMode="External"/><Relationship Id="rId49" Type="http://schemas.openxmlformats.org/officeDocument/2006/relationships/hyperlink" Target="https://www.saintlukeshealthsystem.org/featured-service/hedrick-medical-center-maternity-services" TargetMode="External"/><Relationship Id="rId57" Type="http://schemas.openxmlformats.org/officeDocument/2006/relationships/hyperlink" Target="https://www.saintlukeshealthsystem.org/service/hedrick-medical-center-wound-care-services" TargetMode="External"/><Relationship Id="rId10" Type="http://schemas.openxmlformats.org/officeDocument/2006/relationships/image" Target="media/image2.emf"/><Relationship Id="rId31" Type="http://schemas.openxmlformats.org/officeDocument/2006/relationships/chart" Target="charts/chart15.xml"/><Relationship Id="rId44" Type="http://schemas.openxmlformats.org/officeDocument/2006/relationships/hyperlink" Target="https://www.saintlukeshealthsystem.org/service/hedrick-medical-center-emergency-services" TargetMode="External"/><Relationship Id="rId52" Type="http://schemas.openxmlformats.org/officeDocument/2006/relationships/hyperlink" Target="https://www.saintlukeshealthsystem.org/service/hedrick-medical-center-radiology-services" TargetMode="External"/><Relationship Id="rId60"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dministrator\AppData\Local\Temp\Temp1_Brookfield.zip\Brookfield\ExcelTemplat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administrator\AppData\Local\Temp\Temp1_Brookfield.zip\Brookfield\ExcelTemplat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administrator\AppData\Local\Temp\Temp1_Brookfield.zip\Brookfield\ExcelTemplat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administrator\AppData\Local\Temp\Temp1_Brookfield.zip\Brookfield\ExcelTemplate.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administrator\AppData\Local\Temp\Temp1_Brookfield.zip\Brookfield\ExcelTemplate.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administrator\AppData\Local\Temp\Temp1_Brookfield.zip\Brookfield\ExcelTemplate.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administrator\AppData\Local\Temp\Temp1_Brookfield.zip\Brookfield\ExcelTemplate.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administrator\AppData\Local\Temp\Temp1_Brookfield.zip\Brookfield\ExcelTemplate.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administrator\AppData\Local\Temp\Temp1_Brookfield.zip\Brookfield\ExcelTemplate.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administrator\AppData\Local\Temp\Temp1_Brookfield.zip\Brookfield\ExcelTemplate.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Macintosh%20HD:Users:CMH:Desktop:Brookfield:ExcelBrookfield.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CMH:Desktop:Brookfield:ExcelTemplate.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Macintosh%20HD:Users:CMH:Desktop:Brookfield:ExcelBrookfield.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administrator\AppData\Local\Temp\Temp1_Brookfield.zip\Brookfield\ExcelTemplate.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administrator\AppData\Local\Temp\Temp1_Brookfield.zip\Brookfield\ExcelTemplate.xlsx" TargetMode="External"/><Relationship Id="rId1" Type="http://schemas.openxmlformats.org/officeDocument/2006/relationships/themeOverride" Target="../theme/themeOverride22.xml"/></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Users:CMH:Desktop:Brookfield:ExcelBrookfield.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Macintosh%20HD:Users:CMH:Desktop:Brookfield:ExcelTemplat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Macintosh%20HD:Users:CMH:Desktop:Brookfield:ExcelTemplat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dministrator\AppData\Local\Temp\Temp1_Brookfield.zip\Brookfield\ExcelTemplat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Macintosh%20HD:Users:CMH:Desktop:Brookfield:ExcelBrookfield.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dministrator\AppData\Local\Temp\Temp1_Brookfield.zip\Brookfield\ExcelTemplate.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Macintosh%20HD:Users:CMH:Desktop:Brookfield:ExcelTemplat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2400">
                <a:latin typeface="+mj-lt"/>
              </a:rPr>
              <a:t>Percent Population Change 2000 - 2010</a:t>
            </a:r>
          </a:p>
        </c:rich>
      </c:tx>
      <c:overlay val="0"/>
    </c:title>
    <c:autoTitleDeleted val="0"/>
    <c:plotArea>
      <c:layout>
        <c:manualLayout>
          <c:layoutTarget val="inner"/>
          <c:xMode val="edge"/>
          <c:yMode val="edge"/>
          <c:x val="3.9041612478137894E-2"/>
          <c:y val="0.22291244836371932"/>
          <c:w val="0.94436663243181596"/>
          <c:h val="0.70836604760717603"/>
        </c:manualLayout>
      </c:layout>
      <c:barChart>
        <c:barDir val="bar"/>
        <c:grouping val="clustered"/>
        <c:varyColors val="0"/>
        <c:ser>
          <c:idx val="0"/>
          <c:order val="0"/>
          <c:spPr>
            <a:scene3d>
              <a:camera prst="orthographicFront"/>
              <a:lightRig rig="threePt" dir="t"/>
            </a:scene3d>
            <a:sp3d>
              <a:bevelT w="0" h="0"/>
            </a:sp3d>
          </c:spPr>
          <c:invertIfNegative val="0"/>
          <c:dPt>
            <c:idx val="0"/>
            <c:invertIfNegative val="0"/>
            <c:bubble3D val="0"/>
            <c:spPr>
              <a:solidFill>
                <a:schemeClr val="accent1"/>
              </a:solidFill>
              <a:scene3d>
                <a:camera prst="orthographicFront"/>
                <a:lightRig rig="threePt" dir="t"/>
              </a:scene3d>
              <a:sp3d>
                <a:bevelT w="0" h="0"/>
              </a:sp3d>
            </c:spPr>
          </c:dPt>
          <c:dPt>
            <c:idx val="1"/>
            <c:invertIfNegative val="0"/>
            <c:bubble3D val="0"/>
            <c:spPr>
              <a:solidFill>
                <a:schemeClr val="accent2"/>
              </a:solidFill>
              <a:scene3d>
                <a:camera prst="orthographicFront"/>
                <a:lightRig rig="threePt" dir="t"/>
              </a:scene3d>
              <a:sp3d>
                <a:bevelT w="0" h="0"/>
              </a:sp3d>
            </c:spPr>
          </c:dPt>
          <c:dPt>
            <c:idx val="2"/>
            <c:invertIfNegative val="0"/>
            <c:bubble3D val="0"/>
            <c:spPr>
              <a:solidFill>
                <a:schemeClr val="accent3"/>
              </a:solidFill>
              <a:scene3d>
                <a:camera prst="orthographicFront"/>
                <a:lightRig rig="threePt" dir="t"/>
              </a:scene3d>
              <a:sp3d>
                <a:bevelT w="0" h="0"/>
              </a:sp3d>
            </c:spPr>
          </c:dPt>
          <c:dLbls>
            <c:dLbl>
              <c:idx val="1"/>
              <c:layout>
                <c:manualLayout>
                  <c:x val="2.8571423214956277E-2"/>
                  <c:y val="1.0126584970021463E-2"/>
                </c:manualLayout>
              </c:layout>
              <c:showLegendKey val="0"/>
              <c:showVal val="1"/>
              <c:showCatName val="0"/>
              <c:showSerName val="0"/>
              <c:showPercent val="0"/>
              <c:showBubbleSize val="0"/>
            </c:dLbl>
            <c:txPr>
              <a:bodyPr/>
              <a:lstStyle/>
              <a:p>
                <a:pPr>
                  <a:defRPr sz="1100" b="1" i="0" baseline="0"/>
                </a:pPr>
                <a:endParaRPr lang="en-US"/>
              </a:p>
            </c:txPr>
            <c:showLegendKey val="0"/>
            <c:showVal val="1"/>
            <c:showCatName val="0"/>
            <c:showSerName val="0"/>
            <c:showPercent val="0"/>
            <c:showBubbleSize val="0"/>
            <c:showLeaderLines val="0"/>
          </c:dLbls>
          <c:cat>
            <c:strRef>
              <c:f>'[ExcelTemplate.xlsx]HMC POP CHANGE'!$E$12:$G$12</c:f>
              <c:strCache>
                <c:ptCount val="3"/>
                <c:pt idx="0">
                  <c:v>HMC Primary Service Area</c:v>
                </c:pt>
                <c:pt idx="1">
                  <c:v>Missouri </c:v>
                </c:pt>
                <c:pt idx="2">
                  <c:v>US</c:v>
                </c:pt>
              </c:strCache>
            </c:strRef>
          </c:cat>
          <c:val>
            <c:numRef>
              <c:f>'[ExcelTemplate.xlsx]HMC POP CHANGE'!$E$13:$G$13</c:f>
              <c:numCache>
                <c:formatCode>General</c:formatCode>
                <c:ptCount val="3"/>
                <c:pt idx="0" formatCode="0.0">
                  <c:v>-7.8</c:v>
                </c:pt>
                <c:pt idx="1">
                  <c:v>7</c:v>
                </c:pt>
                <c:pt idx="2">
                  <c:v>9.6999999999999993</c:v>
                </c:pt>
              </c:numCache>
            </c:numRef>
          </c:val>
        </c:ser>
        <c:dLbls>
          <c:showLegendKey val="0"/>
          <c:showVal val="1"/>
          <c:showCatName val="0"/>
          <c:showSerName val="0"/>
          <c:showPercent val="0"/>
          <c:showBubbleSize val="0"/>
        </c:dLbls>
        <c:gapWidth val="96"/>
        <c:axId val="272796672"/>
        <c:axId val="265155648"/>
      </c:barChart>
      <c:catAx>
        <c:axId val="272796672"/>
        <c:scaling>
          <c:orientation val="minMax"/>
        </c:scaling>
        <c:delete val="0"/>
        <c:axPos val="l"/>
        <c:majorTickMark val="out"/>
        <c:minorTickMark val="none"/>
        <c:tickLblPos val="none"/>
        <c:crossAx val="265155648"/>
        <c:crosses val="autoZero"/>
        <c:auto val="1"/>
        <c:lblAlgn val="ctr"/>
        <c:lblOffset val="100"/>
        <c:noMultiLvlLbl val="0"/>
      </c:catAx>
      <c:valAx>
        <c:axId val="265155648"/>
        <c:scaling>
          <c:orientation val="minMax"/>
        </c:scaling>
        <c:delete val="0"/>
        <c:axPos val="b"/>
        <c:numFmt formatCode="0.0" sourceLinked="1"/>
        <c:majorTickMark val="out"/>
        <c:minorTickMark val="none"/>
        <c:tickLblPos val="nextTo"/>
        <c:crossAx val="272796672"/>
        <c:crosses val="autoZero"/>
        <c:crossBetween val="between"/>
      </c:valAx>
      <c:spPr>
        <a:ln w="12700">
          <a:noFill/>
        </a:ln>
      </c:spPr>
    </c:plotArea>
    <c:plotVisOnly val="1"/>
    <c:dispBlanksAs val="gap"/>
    <c:showDLblsOverMax val="0"/>
  </c:chart>
  <c:spPr>
    <a:ln w="31750">
      <a:solidFill>
        <a:sysClr val="windowText" lastClr="000000"/>
      </a:solidFill>
    </a:ln>
  </c:sp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Risk Factors for Premature Death</a:t>
            </a:r>
          </a:p>
        </c:rich>
      </c:tx>
      <c:overlay val="0"/>
    </c:title>
    <c:autoTitleDeleted val="0"/>
    <c:plotArea>
      <c:layout/>
      <c:barChart>
        <c:barDir val="col"/>
        <c:grouping val="clustered"/>
        <c:varyColors val="0"/>
        <c:ser>
          <c:idx val="0"/>
          <c:order val="0"/>
          <c:tx>
            <c:strRef>
              <c:f>'[ExcelTemplate.xlsx]Risk Factors'!$B$1</c:f>
              <c:strCache>
                <c:ptCount val="1"/>
                <c:pt idx="0">
                  <c:v>Missouri </c:v>
                </c:pt>
              </c:strCache>
            </c:strRef>
          </c:tx>
          <c:spPr>
            <a:solidFill>
              <a:schemeClr val="accent2"/>
            </a:solidFill>
          </c:spPr>
          <c:invertIfNegative val="0"/>
          <c:cat>
            <c:strRef>
              <c:f>'[ExcelTemplate.xlsx]Risk Factors'!$A$2:$A$8</c:f>
              <c:strCache>
                <c:ptCount val="7"/>
                <c:pt idx="0">
                  <c:v>Diabetes </c:v>
                </c:pt>
                <c:pt idx="1">
                  <c:v>Low Fruits &amp; Veggies</c:v>
                </c:pt>
                <c:pt idx="2">
                  <c:v>Smoking</c:v>
                </c:pt>
                <c:pt idx="3">
                  <c:v>Excessive Alcohol Consumption</c:v>
                </c:pt>
                <c:pt idx="4">
                  <c:v>Obesity </c:v>
                </c:pt>
                <c:pt idx="5">
                  <c:v>High Blood Pressure</c:v>
                </c:pt>
                <c:pt idx="6">
                  <c:v>No Exercise</c:v>
                </c:pt>
              </c:strCache>
            </c:strRef>
          </c:cat>
          <c:val>
            <c:numRef>
              <c:f>'[ExcelTemplate.xlsx]Risk Factors'!$B$2:$B$8</c:f>
              <c:numCache>
                <c:formatCode>General</c:formatCode>
                <c:ptCount val="7"/>
                <c:pt idx="0">
                  <c:v>8.8000000000000007</c:v>
                </c:pt>
                <c:pt idx="1">
                  <c:v>79.3</c:v>
                </c:pt>
                <c:pt idx="2">
                  <c:v>23.4</c:v>
                </c:pt>
                <c:pt idx="3">
                  <c:v>16.899999999999999</c:v>
                </c:pt>
                <c:pt idx="4">
                  <c:v>29.3</c:v>
                </c:pt>
                <c:pt idx="5">
                  <c:v>28.8</c:v>
                </c:pt>
                <c:pt idx="6">
                  <c:v>26.1</c:v>
                </c:pt>
              </c:numCache>
            </c:numRef>
          </c:val>
        </c:ser>
        <c:ser>
          <c:idx val="1"/>
          <c:order val="1"/>
          <c:tx>
            <c:strRef>
              <c:f>'[ExcelTemplate.xlsx]Risk Factors'!$C$1</c:f>
              <c:strCache>
                <c:ptCount val="1"/>
                <c:pt idx="0">
                  <c:v>Linn</c:v>
                </c:pt>
              </c:strCache>
            </c:strRef>
          </c:tx>
          <c:spPr>
            <a:solidFill>
              <a:schemeClr val="accent6"/>
            </a:solidFill>
          </c:spPr>
          <c:invertIfNegative val="0"/>
          <c:cat>
            <c:strRef>
              <c:f>'[ExcelTemplate.xlsx]Risk Factors'!$A$2:$A$8</c:f>
              <c:strCache>
                <c:ptCount val="7"/>
                <c:pt idx="0">
                  <c:v>Diabetes </c:v>
                </c:pt>
                <c:pt idx="1">
                  <c:v>Low Fruits &amp; Veggies</c:v>
                </c:pt>
                <c:pt idx="2">
                  <c:v>Smoking</c:v>
                </c:pt>
                <c:pt idx="3">
                  <c:v>Excessive Alcohol Consumption</c:v>
                </c:pt>
                <c:pt idx="4">
                  <c:v>Obesity </c:v>
                </c:pt>
                <c:pt idx="5">
                  <c:v>High Blood Pressure</c:v>
                </c:pt>
                <c:pt idx="6">
                  <c:v>No Exercise</c:v>
                </c:pt>
              </c:strCache>
            </c:strRef>
          </c:cat>
          <c:val>
            <c:numRef>
              <c:f>'[ExcelTemplate.xlsx]Risk Factors'!$C$2:$C$8</c:f>
              <c:numCache>
                <c:formatCode>General</c:formatCode>
                <c:ptCount val="7"/>
                <c:pt idx="0">
                  <c:v>8.5</c:v>
                </c:pt>
                <c:pt idx="1">
                  <c:v>83.2</c:v>
                </c:pt>
                <c:pt idx="2">
                  <c:v>24.5</c:v>
                </c:pt>
                <c:pt idx="3">
                  <c:v>25.3</c:v>
                </c:pt>
                <c:pt idx="4">
                  <c:v>38.5</c:v>
                </c:pt>
                <c:pt idx="5">
                  <c:v>39.200000000000003</c:v>
                </c:pt>
                <c:pt idx="6">
                  <c:v>36.6</c:v>
                </c:pt>
              </c:numCache>
            </c:numRef>
          </c:val>
        </c:ser>
        <c:dLbls>
          <c:showLegendKey val="0"/>
          <c:showVal val="0"/>
          <c:showCatName val="0"/>
          <c:showSerName val="0"/>
          <c:showPercent val="0"/>
          <c:showBubbleSize val="0"/>
        </c:dLbls>
        <c:gapWidth val="150"/>
        <c:axId val="276823040"/>
        <c:axId val="276368768"/>
      </c:barChart>
      <c:catAx>
        <c:axId val="276823040"/>
        <c:scaling>
          <c:orientation val="minMax"/>
        </c:scaling>
        <c:delete val="0"/>
        <c:axPos val="b"/>
        <c:majorTickMark val="out"/>
        <c:minorTickMark val="none"/>
        <c:tickLblPos val="nextTo"/>
        <c:txPr>
          <a:bodyPr/>
          <a:lstStyle/>
          <a:p>
            <a:pPr>
              <a:defRPr sz="1050">
                <a:latin typeface="+mj-lt"/>
              </a:defRPr>
            </a:pPr>
            <a:endParaRPr lang="en-US"/>
          </a:p>
        </c:txPr>
        <c:crossAx val="276368768"/>
        <c:crosses val="autoZero"/>
        <c:auto val="1"/>
        <c:lblAlgn val="ctr"/>
        <c:lblOffset val="100"/>
        <c:noMultiLvlLbl val="0"/>
      </c:catAx>
      <c:valAx>
        <c:axId val="276368768"/>
        <c:scaling>
          <c:orientation val="minMax"/>
        </c:scaling>
        <c:delete val="0"/>
        <c:axPos val="l"/>
        <c:majorGridlines/>
        <c:title>
          <c:tx>
            <c:rich>
              <a:bodyPr rot="-5400000" vert="horz"/>
              <a:lstStyle/>
              <a:p>
                <a:pPr>
                  <a:defRPr/>
                </a:pPr>
                <a:r>
                  <a:rPr lang="en-US">
                    <a:latin typeface="+mj-lt"/>
                  </a:rPr>
                  <a:t>Percent</a:t>
                </a:r>
                <a:r>
                  <a:rPr lang="en-US" baseline="0">
                    <a:latin typeface="+mj-lt"/>
                  </a:rPr>
                  <a:t> </a:t>
                </a:r>
                <a:endParaRPr lang="en-US">
                  <a:latin typeface="+mj-lt"/>
                </a:endParaRPr>
              </a:p>
            </c:rich>
          </c:tx>
          <c:overlay val="0"/>
        </c:title>
        <c:numFmt formatCode="General" sourceLinked="1"/>
        <c:majorTickMark val="out"/>
        <c:minorTickMark val="none"/>
        <c:tickLblPos val="nextTo"/>
        <c:txPr>
          <a:bodyPr/>
          <a:lstStyle/>
          <a:p>
            <a:pPr>
              <a:defRPr sz="1000">
                <a:latin typeface="+mj-lt"/>
              </a:defRPr>
            </a:pPr>
            <a:endParaRPr lang="en-US"/>
          </a:p>
        </c:txPr>
        <c:crossAx val="276823040"/>
        <c:crosses val="autoZero"/>
        <c:crossBetween val="between"/>
      </c:valAx>
    </c:plotArea>
    <c:legend>
      <c:legendPos val="r"/>
      <c:overlay val="0"/>
      <c:txPr>
        <a:bodyPr/>
        <a:lstStyle/>
        <a:p>
          <a:pPr>
            <a:defRPr sz="1100">
              <a:latin typeface="+mj-lt"/>
            </a:defRPr>
          </a:pPr>
          <a:endParaRPr lang="en-US"/>
        </a:p>
      </c:txPr>
    </c:legend>
    <c:plotVisOnly val="1"/>
    <c:dispBlanksAs val="gap"/>
    <c:showDLblsOverMax val="0"/>
  </c:chart>
  <c:spPr>
    <a:ln w="31750">
      <a:solidFill>
        <a:schemeClr val="tx1"/>
      </a:solid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a:latin typeface="+mj-lt"/>
              </a:rPr>
              <a:t>Crime</a:t>
            </a:r>
            <a:r>
              <a:rPr lang="en-US" sz="1800" baseline="0">
                <a:latin typeface="+mj-lt"/>
              </a:rPr>
              <a:t> Index Rate</a:t>
            </a:r>
            <a:endParaRPr lang="en-US" sz="1800">
              <a:latin typeface="+mj-lt"/>
            </a:endParaRPr>
          </a:p>
        </c:rich>
      </c:tx>
      <c:overlay val="0"/>
    </c:title>
    <c:autoTitleDeleted val="0"/>
    <c:plotArea>
      <c:layout/>
      <c:lineChart>
        <c:grouping val="standard"/>
        <c:varyColors val="0"/>
        <c:ser>
          <c:idx val="0"/>
          <c:order val="0"/>
          <c:tx>
            <c:strRef>
              <c:f>[ExcelTemplate.xlsx]CrimeIndex!$B$2</c:f>
              <c:strCache>
                <c:ptCount val="1"/>
                <c:pt idx="0">
                  <c:v>Linn</c:v>
                </c:pt>
              </c:strCache>
            </c:strRef>
          </c:tx>
          <c:marker>
            <c:symbol val="none"/>
          </c:marker>
          <c:cat>
            <c:strRef>
              <c:f>[ExcelTemplate.xlsx]CrimeIndex!$A$3:$A$10</c:f>
              <c:strCache>
                <c:ptCount val="8"/>
                <c:pt idx="0">
                  <c:v>Total Crime Risk Index </c:v>
                </c:pt>
                <c:pt idx="1">
                  <c:v>Murder Risk Index </c:v>
                </c:pt>
                <c:pt idx="2">
                  <c:v>Rape Risk Index </c:v>
                </c:pt>
                <c:pt idx="3">
                  <c:v>Robbery Risk Index </c:v>
                </c:pt>
                <c:pt idx="4">
                  <c:v>Assault Risk Index </c:v>
                </c:pt>
                <c:pt idx="5">
                  <c:v>Burglary Risk Index </c:v>
                </c:pt>
                <c:pt idx="6">
                  <c:v>Larceny Risk Index </c:v>
                </c:pt>
                <c:pt idx="7">
                  <c:v>Vehicle Theft Risk Index </c:v>
                </c:pt>
              </c:strCache>
            </c:strRef>
          </c:cat>
          <c:val>
            <c:numRef>
              <c:f>[ExcelTemplate.xlsx]CrimeIndex!$B$3:$B$10</c:f>
              <c:numCache>
                <c:formatCode>General</c:formatCode>
                <c:ptCount val="8"/>
                <c:pt idx="0">
                  <c:v>40</c:v>
                </c:pt>
                <c:pt idx="1">
                  <c:v>6</c:v>
                </c:pt>
                <c:pt idx="2">
                  <c:v>14</c:v>
                </c:pt>
                <c:pt idx="3">
                  <c:v>9</c:v>
                </c:pt>
                <c:pt idx="4">
                  <c:v>73</c:v>
                </c:pt>
                <c:pt idx="5">
                  <c:v>67</c:v>
                </c:pt>
                <c:pt idx="6">
                  <c:v>46</c:v>
                </c:pt>
                <c:pt idx="7">
                  <c:v>27</c:v>
                </c:pt>
              </c:numCache>
            </c:numRef>
          </c:val>
          <c:smooth val="0"/>
        </c:ser>
        <c:ser>
          <c:idx val="1"/>
          <c:order val="1"/>
          <c:tx>
            <c:strRef>
              <c:f>[ExcelTemplate.xlsx]CrimeIndex!$C$2</c:f>
              <c:strCache>
                <c:ptCount val="1"/>
                <c:pt idx="0">
                  <c:v> Missouri</c:v>
                </c:pt>
              </c:strCache>
            </c:strRef>
          </c:tx>
          <c:marker>
            <c:symbol val="none"/>
          </c:marker>
          <c:cat>
            <c:strRef>
              <c:f>[ExcelTemplate.xlsx]CrimeIndex!$A$3:$A$10</c:f>
              <c:strCache>
                <c:ptCount val="8"/>
                <c:pt idx="0">
                  <c:v>Total Crime Risk Index </c:v>
                </c:pt>
                <c:pt idx="1">
                  <c:v>Murder Risk Index </c:v>
                </c:pt>
                <c:pt idx="2">
                  <c:v>Rape Risk Index </c:v>
                </c:pt>
                <c:pt idx="3">
                  <c:v>Robbery Risk Index </c:v>
                </c:pt>
                <c:pt idx="4">
                  <c:v>Assault Risk Index </c:v>
                </c:pt>
                <c:pt idx="5">
                  <c:v>Burglary Risk Index </c:v>
                </c:pt>
                <c:pt idx="6">
                  <c:v>Larceny Risk Index </c:v>
                </c:pt>
                <c:pt idx="7">
                  <c:v>Vehicle Theft Risk Index </c:v>
                </c:pt>
              </c:strCache>
            </c:strRef>
          </c:cat>
          <c:val>
            <c:numRef>
              <c:f>[ExcelTemplate.xlsx]CrimeIndex!$C$3:$C$10</c:f>
              <c:numCache>
                <c:formatCode>General</c:formatCode>
                <c:ptCount val="8"/>
                <c:pt idx="0">
                  <c:v>115</c:v>
                </c:pt>
                <c:pt idx="1">
                  <c:v>100</c:v>
                </c:pt>
                <c:pt idx="2">
                  <c:v>91</c:v>
                </c:pt>
                <c:pt idx="3">
                  <c:v>89</c:v>
                </c:pt>
                <c:pt idx="4">
                  <c:v>124</c:v>
                </c:pt>
                <c:pt idx="5">
                  <c:v>106</c:v>
                </c:pt>
                <c:pt idx="6">
                  <c:v>114</c:v>
                </c:pt>
                <c:pt idx="7">
                  <c:v>116</c:v>
                </c:pt>
              </c:numCache>
            </c:numRef>
          </c:val>
          <c:smooth val="0"/>
        </c:ser>
        <c:ser>
          <c:idx val="2"/>
          <c:order val="2"/>
          <c:tx>
            <c:strRef>
              <c:f>[ExcelTemplate.xlsx]CrimeIndex!$D$2</c:f>
              <c:strCache>
                <c:ptCount val="1"/>
                <c:pt idx="0">
                  <c:v> United States </c:v>
                </c:pt>
              </c:strCache>
            </c:strRef>
          </c:tx>
          <c:marker>
            <c:symbol val="none"/>
          </c:marker>
          <c:cat>
            <c:strRef>
              <c:f>[ExcelTemplate.xlsx]CrimeIndex!$A$3:$A$10</c:f>
              <c:strCache>
                <c:ptCount val="8"/>
                <c:pt idx="0">
                  <c:v>Total Crime Risk Index </c:v>
                </c:pt>
                <c:pt idx="1">
                  <c:v>Murder Risk Index </c:v>
                </c:pt>
                <c:pt idx="2">
                  <c:v>Rape Risk Index </c:v>
                </c:pt>
                <c:pt idx="3">
                  <c:v>Robbery Risk Index </c:v>
                </c:pt>
                <c:pt idx="4">
                  <c:v>Assault Risk Index </c:v>
                </c:pt>
                <c:pt idx="5">
                  <c:v>Burglary Risk Index </c:v>
                </c:pt>
                <c:pt idx="6">
                  <c:v>Larceny Risk Index </c:v>
                </c:pt>
                <c:pt idx="7">
                  <c:v>Vehicle Theft Risk Index </c:v>
                </c:pt>
              </c:strCache>
            </c:strRef>
          </c:cat>
          <c:val>
            <c:numRef>
              <c:f>[ExcelTemplate.xlsx]CrimeIndex!$D$3:$D$10</c:f>
              <c:numCache>
                <c:formatCode>General</c:formatCode>
                <c:ptCount val="8"/>
                <c:pt idx="0">
                  <c:v>100</c:v>
                </c:pt>
                <c:pt idx="1">
                  <c:v>100</c:v>
                </c:pt>
                <c:pt idx="2">
                  <c:v>100</c:v>
                </c:pt>
                <c:pt idx="3">
                  <c:v>100</c:v>
                </c:pt>
                <c:pt idx="4">
                  <c:v>100</c:v>
                </c:pt>
                <c:pt idx="5">
                  <c:v>100</c:v>
                </c:pt>
                <c:pt idx="6">
                  <c:v>100</c:v>
                </c:pt>
                <c:pt idx="7">
                  <c:v>100</c:v>
                </c:pt>
              </c:numCache>
            </c:numRef>
          </c:val>
          <c:smooth val="0"/>
        </c:ser>
        <c:dLbls>
          <c:showLegendKey val="0"/>
          <c:showVal val="0"/>
          <c:showCatName val="0"/>
          <c:showSerName val="0"/>
          <c:showPercent val="0"/>
          <c:showBubbleSize val="0"/>
        </c:dLbls>
        <c:marker val="1"/>
        <c:smooth val="0"/>
        <c:axId val="274759680"/>
        <c:axId val="276370496"/>
      </c:lineChart>
      <c:catAx>
        <c:axId val="274759680"/>
        <c:scaling>
          <c:orientation val="minMax"/>
        </c:scaling>
        <c:delete val="0"/>
        <c:axPos val="b"/>
        <c:majorTickMark val="out"/>
        <c:minorTickMark val="none"/>
        <c:tickLblPos val="nextTo"/>
        <c:txPr>
          <a:bodyPr/>
          <a:lstStyle/>
          <a:p>
            <a:pPr>
              <a:defRPr sz="1000">
                <a:latin typeface="+mj-lt"/>
              </a:defRPr>
            </a:pPr>
            <a:endParaRPr lang="en-US"/>
          </a:p>
        </c:txPr>
        <c:crossAx val="276370496"/>
        <c:crosses val="autoZero"/>
        <c:auto val="1"/>
        <c:lblAlgn val="ctr"/>
        <c:lblOffset val="100"/>
        <c:noMultiLvlLbl val="0"/>
      </c:catAx>
      <c:valAx>
        <c:axId val="276370496"/>
        <c:scaling>
          <c:orientation val="minMax"/>
        </c:scaling>
        <c:delete val="0"/>
        <c:axPos val="l"/>
        <c:majorGridlines/>
        <c:numFmt formatCode="General" sourceLinked="1"/>
        <c:majorTickMark val="out"/>
        <c:minorTickMark val="none"/>
        <c:tickLblPos val="nextTo"/>
        <c:txPr>
          <a:bodyPr/>
          <a:lstStyle/>
          <a:p>
            <a:pPr>
              <a:defRPr sz="1050">
                <a:latin typeface="+mj-lt"/>
              </a:defRPr>
            </a:pPr>
            <a:endParaRPr lang="en-US"/>
          </a:p>
        </c:txPr>
        <c:crossAx val="274759680"/>
        <c:crosses val="autoZero"/>
        <c:crossBetween val="between"/>
      </c:valAx>
    </c:plotArea>
    <c:legend>
      <c:legendPos val="r"/>
      <c:overlay val="0"/>
      <c:txPr>
        <a:bodyPr/>
        <a:lstStyle/>
        <a:p>
          <a:pPr>
            <a:defRPr sz="1050">
              <a:latin typeface="+mj-lt"/>
            </a:defRPr>
          </a:pPr>
          <a:endParaRPr lang="en-US"/>
        </a:p>
      </c:txPr>
    </c:legend>
    <c:plotVisOnly val="1"/>
    <c:dispBlanksAs val="gap"/>
    <c:showDLblsOverMax val="0"/>
  </c:chart>
  <c:spPr>
    <a:ln w="31750">
      <a:solidFill>
        <a:schemeClr val="tx1"/>
      </a:solid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Immunization Rates</a:t>
            </a:r>
          </a:p>
        </c:rich>
      </c:tx>
      <c:overlay val="0"/>
    </c:title>
    <c:autoTitleDeleted val="0"/>
    <c:plotArea>
      <c:layout/>
      <c:lineChart>
        <c:grouping val="standard"/>
        <c:varyColors val="0"/>
        <c:ser>
          <c:idx val="0"/>
          <c:order val="0"/>
          <c:tx>
            <c:strRef>
              <c:f>'[ExcelTemplate.xlsx]Immunization Rates'!$A$3</c:f>
              <c:strCache>
                <c:ptCount val="1"/>
                <c:pt idx="0">
                  <c:v>Linn</c:v>
                </c:pt>
              </c:strCache>
            </c:strRef>
          </c:tx>
          <c:marker>
            <c:symbol val="none"/>
          </c:marker>
          <c:cat>
            <c:numRef>
              <c:f>'[ExcelTemplate.xlsx]Immunization Rates'!$B$2:$F$2</c:f>
              <c:numCache>
                <c:formatCode>General</c:formatCode>
                <c:ptCount val="5"/>
                <c:pt idx="0">
                  <c:v>2001</c:v>
                </c:pt>
                <c:pt idx="1">
                  <c:v>2002</c:v>
                </c:pt>
                <c:pt idx="2">
                  <c:v>2003</c:v>
                </c:pt>
                <c:pt idx="3">
                  <c:v>2004</c:v>
                </c:pt>
                <c:pt idx="4">
                  <c:v>2005</c:v>
                </c:pt>
              </c:numCache>
            </c:numRef>
          </c:cat>
          <c:val>
            <c:numRef>
              <c:f>'[ExcelTemplate.xlsx]Immunization Rates'!$B$3:$F$3</c:f>
              <c:numCache>
                <c:formatCode>0%</c:formatCode>
                <c:ptCount val="5"/>
                <c:pt idx="0">
                  <c:v>0.79</c:v>
                </c:pt>
                <c:pt idx="1">
                  <c:v>0.79</c:v>
                </c:pt>
                <c:pt idx="2">
                  <c:v>0.79</c:v>
                </c:pt>
                <c:pt idx="3">
                  <c:v>0.84</c:v>
                </c:pt>
                <c:pt idx="4">
                  <c:v>0.79100000000000004</c:v>
                </c:pt>
              </c:numCache>
            </c:numRef>
          </c:val>
          <c:smooth val="0"/>
        </c:ser>
        <c:ser>
          <c:idx val="1"/>
          <c:order val="1"/>
          <c:tx>
            <c:strRef>
              <c:f>'[ExcelTemplate.xlsx]Immunization Rates'!$A$4</c:f>
              <c:strCache>
                <c:ptCount val="1"/>
                <c:pt idx="0">
                  <c:v>Missouri</c:v>
                </c:pt>
              </c:strCache>
            </c:strRef>
          </c:tx>
          <c:marker>
            <c:symbol val="none"/>
          </c:marker>
          <c:cat>
            <c:numRef>
              <c:f>'[ExcelTemplate.xlsx]Immunization Rates'!$B$2:$F$2</c:f>
              <c:numCache>
                <c:formatCode>General</c:formatCode>
                <c:ptCount val="5"/>
                <c:pt idx="0">
                  <c:v>2001</c:v>
                </c:pt>
                <c:pt idx="1">
                  <c:v>2002</c:v>
                </c:pt>
                <c:pt idx="2">
                  <c:v>2003</c:v>
                </c:pt>
                <c:pt idx="3">
                  <c:v>2004</c:v>
                </c:pt>
                <c:pt idx="4">
                  <c:v>2005</c:v>
                </c:pt>
              </c:numCache>
            </c:numRef>
          </c:cat>
          <c:val>
            <c:numRef>
              <c:f>'[ExcelTemplate.xlsx]Immunization Rates'!$B$4:$F$4</c:f>
              <c:numCache>
                <c:formatCode>0%</c:formatCode>
                <c:ptCount val="5"/>
                <c:pt idx="0">
                  <c:v>0.77900000000000003</c:v>
                </c:pt>
                <c:pt idx="1">
                  <c:v>0.77900000000000003</c:v>
                </c:pt>
                <c:pt idx="2">
                  <c:v>0.79100000000000004</c:v>
                </c:pt>
                <c:pt idx="3">
                  <c:v>0.81</c:v>
                </c:pt>
                <c:pt idx="4">
                  <c:v>0.79100000000000004</c:v>
                </c:pt>
              </c:numCache>
            </c:numRef>
          </c:val>
          <c:smooth val="0"/>
        </c:ser>
        <c:dLbls>
          <c:showLegendKey val="0"/>
          <c:showVal val="0"/>
          <c:showCatName val="0"/>
          <c:showSerName val="0"/>
          <c:showPercent val="0"/>
          <c:showBubbleSize val="0"/>
        </c:dLbls>
        <c:marker val="1"/>
        <c:smooth val="0"/>
        <c:axId val="276822016"/>
        <c:axId val="276369344"/>
      </c:lineChart>
      <c:catAx>
        <c:axId val="276822016"/>
        <c:scaling>
          <c:orientation val="minMax"/>
        </c:scaling>
        <c:delete val="0"/>
        <c:axPos val="b"/>
        <c:numFmt formatCode="General" sourceLinked="1"/>
        <c:majorTickMark val="out"/>
        <c:minorTickMark val="none"/>
        <c:tickLblPos val="nextTo"/>
        <c:txPr>
          <a:bodyPr/>
          <a:lstStyle/>
          <a:p>
            <a:pPr>
              <a:defRPr>
                <a:latin typeface="+mj-lt"/>
              </a:defRPr>
            </a:pPr>
            <a:endParaRPr lang="en-US"/>
          </a:p>
        </c:txPr>
        <c:crossAx val="276369344"/>
        <c:crosses val="autoZero"/>
        <c:auto val="1"/>
        <c:lblAlgn val="ctr"/>
        <c:lblOffset val="100"/>
        <c:noMultiLvlLbl val="0"/>
      </c:catAx>
      <c:valAx>
        <c:axId val="276369344"/>
        <c:scaling>
          <c:orientation val="minMax"/>
        </c:scaling>
        <c:delete val="0"/>
        <c:axPos val="l"/>
        <c:majorGridlines/>
        <c:numFmt formatCode="0%" sourceLinked="1"/>
        <c:majorTickMark val="out"/>
        <c:minorTickMark val="none"/>
        <c:tickLblPos val="nextTo"/>
        <c:txPr>
          <a:bodyPr/>
          <a:lstStyle/>
          <a:p>
            <a:pPr>
              <a:defRPr sz="1000">
                <a:latin typeface="+mj-lt"/>
              </a:defRPr>
            </a:pPr>
            <a:endParaRPr lang="en-US"/>
          </a:p>
        </c:txPr>
        <c:crossAx val="276822016"/>
        <c:crosses val="autoZero"/>
        <c:crossBetween val="between"/>
      </c:valAx>
    </c:plotArea>
    <c:legend>
      <c:legendPos val="r"/>
      <c:overlay val="0"/>
      <c:txPr>
        <a:bodyPr/>
        <a:lstStyle/>
        <a:p>
          <a:pPr>
            <a:defRPr sz="1050">
              <a:latin typeface="+mj-lt"/>
            </a:defRPr>
          </a:pPr>
          <a:endParaRPr lang="en-US"/>
        </a:p>
      </c:txPr>
    </c:legend>
    <c:plotVisOnly val="1"/>
    <c:dispBlanksAs val="gap"/>
    <c:showDLblsOverMax val="0"/>
  </c:chart>
  <c:spPr>
    <a:ln w="31750">
      <a:solidFill>
        <a:sysClr val="windowText" lastClr="000000"/>
      </a:solid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MO HealthNet for Kids Enrollment</a:t>
            </a:r>
          </a:p>
        </c:rich>
      </c:tx>
      <c:layout>
        <c:manualLayout>
          <c:xMode val="edge"/>
          <c:yMode val="edge"/>
          <c:x val="0.17444444444444501"/>
          <c:y val="3.7037037037037E-2"/>
        </c:manualLayout>
      </c:layout>
      <c:overlay val="0"/>
    </c:title>
    <c:autoTitleDeleted val="0"/>
    <c:plotArea>
      <c:layout/>
      <c:lineChart>
        <c:grouping val="standard"/>
        <c:varyColors val="0"/>
        <c:ser>
          <c:idx val="0"/>
          <c:order val="0"/>
          <c:tx>
            <c:strRef>
              <c:f>'[ExcelTemplate.xlsx]MO HealthNet'!$A$3</c:f>
              <c:strCache>
                <c:ptCount val="1"/>
                <c:pt idx="0">
                  <c:v>Linn</c:v>
                </c:pt>
              </c:strCache>
            </c:strRef>
          </c:tx>
          <c:marker>
            <c:symbol val="none"/>
          </c:marker>
          <c:cat>
            <c:numRef>
              <c:f>'[ExcelTemplate.xlsx]MO HealthNet'!$B$2:$F$2</c:f>
              <c:numCache>
                <c:formatCode>General</c:formatCode>
                <c:ptCount val="5"/>
                <c:pt idx="0">
                  <c:v>2004</c:v>
                </c:pt>
                <c:pt idx="1">
                  <c:v>2005</c:v>
                </c:pt>
                <c:pt idx="2">
                  <c:v>2006</c:v>
                </c:pt>
                <c:pt idx="3">
                  <c:v>2007</c:v>
                </c:pt>
                <c:pt idx="4">
                  <c:v>2008</c:v>
                </c:pt>
              </c:numCache>
            </c:numRef>
          </c:cat>
          <c:val>
            <c:numRef>
              <c:f>'[ExcelTemplate.xlsx]MO HealthNet'!$B$3:$F$3</c:f>
              <c:numCache>
                <c:formatCode>0%</c:formatCode>
                <c:ptCount val="5"/>
                <c:pt idx="0">
                  <c:v>0.42</c:v>
                </c:pt>
                <c:pt idx="1">
                  <c:v>0.42</c:v>
                </c:pt>
                <c:pt idx="2">
                  <c:v>0.36</c:v>
                </c:pt>
                <c:pt idx="3">
                  <c:v>0.35</c:v>
                </c:pt>
                <c:pt idx="4">
                  <c:v>0.36</c:v>
                </c:pt>
              </c:numCache>
            </c:numRef>
          </c:val>
          <c:smooth val="0"/>
        </c:ser>
        <c:ser>
          <c:idx val="1"/>
          <c:order val="1"/>
          <c:tx>
            <c:strRef>
              <c:f>'[ExcelTemplate.xlsx]MO HealthNet'!$A$4</c:f>
              <c:strCache>
                <c:ptCount val="1"/>
                <c:pt idx="0">
                  <c:v>Missouri</c:v>
                </c:pt>
              </c:strCache>
            </c:strRef>
          </c:tx>
          <c:marker>
            <c:symbol val="none"/>
          </c:marker>
          <c:cat>
            <c:numRef>
              <c:f>'[ExcelTemplate.xlsx]MO HealthNet'!$B$2:$F$2</c:f>
              <c:numCache>
                <c:formatCode>General</c:formatCode>
                <c:ptCount val="5"/>
                <c:pt idx="0">
                  <c:v>2004</c:v>
                </c:pt>
                <c:pt idx="1">
                  <c:v>2005</c:v>
                </c:pt>
                <c:pt idx="2">
                  <c:v>2006</c:v>
                </c:pt>
                <c:pt idx="3">
                  <c:v>2007</c:v>
                </c:pt>
                <c:pt idx="4">
                  <c:v>2008</c:v>
                </c:pt>
              </c:numCache>
            </c:numRef>
          </c:cat>
          <c:val>
            <c:numRef>
              <c:f>'[ExcelTemplate.xlsx]MO HealthNet'!$B$4:$F$4</c:f>
              <c:numCache>
                <c:formatCode>0%</c:formatCode>
                <c:ptCount val="5"/>
                <c:pt idx="0">
                  <c:v>0.38500000000000001</c:v>
                </c:pt>
                <c:pt idx="1">
                  <c:v>0.38100000000000001</c:v>
                </c:pt>
                <c:pt idx="2">
                  <c:v>0.33300000000000002</c:v>
                </c:pt>
                <c:pt idx="3">
                  <c:v>0.33200000000000002</c:v>
                </c:pt>
                <c:pt idx="4">
                  <c:v>0.33500000000000002</c:v>
                </c:pt>
              </c:numCache>
            </c:numRef>
          </c:val>
          <c:smooth val="0"/>
        </c:ser>
        <c:dLbls>
          <c:showLegendKey val="0"/>
          <c:showVal val="0"/>
          <c:showCatName val="0"/>
          <c:showSerName val="0"/>
          <c:showPercent val="0"/>
          <c:showBubbleSize val="0"/>
        </c:dLbls>
        <c:marker val="1"/>
        <c:smooth val="0"/>
        <c:axId val="276124672"/>
        <c:axId val="273080896"/>
      </c:lineChart>
      <c:catAx>
        <c:axId val="276124672"/>
        <c:scaling>
          <c:orientation val="minMax"/>
        </c:scaling>
        <c:delete val="0"/>
        <c:axPos val="b"/>
        <c:numFmt formatCode="General" sourceLinked="1"/>
        <c:majorTickMark val="out"/>
        <c:minorTickMark val="none"/>
        <c:tickLblPos val="nextTo"/>
        <c:txPr>
          <a:bodyPr/>
          <a:lstStyle/>
          <a:p>
            <a:pPr>
              <a:defRPr sz="1000">
                <a:latin typeface="+mj-lt"/>
              </a:defRPr>
            </a:pPr>
            <a:endParaRPr lang="en-US"/>
          </a:p>
        </c:txPr>
        <c:crossAx val="273080896"/>
        <c:crosses val="autoZero"/>
        <c:auto val="1"/>
        <c:lblAlgn val="ctr"/>
        <c:lblOffset val="100"/>
        <c:noMultiLvlLbl val="0"/>
      </c:catAx>
      <c:valAx>
        <c:axId val="273080896"/>
        <c:scaling>
          <c:orientation val="minMax"/>
          <c:min val="0.2"/>
        </c:scaling>
        <c:delete val="0"/>
        <c:axPos val="l"/>
        <c:majorGridlines/>
        <c:numFmt formatCode="0%" sourceLinked="1"/>
        <c:majorTickMark val="out"/>
        <c:minorTickMark val="none"/>
        <c:tickLblPos val="nextTo"/>
        <c:txPr>
          <a:bodyPr/>
          <a:lstStyle/>
          <a:p>
            <a:pPr>
              <a:defRPr>
                <a:latin typeface="+mj-lt"/>
              </a:defRPr>
            </a:pPr>
            <a:endParaRPr lang="en-US"/>
          </a:p>
        </c:txPr>
        <c:crossAx val="276124672"/>
        <c:crosses val="autoZero"/>
        <c:crossBetween val="between"/>
      </c:valAx>
    </c:plotArea>
    <c:legend>
      <c:legendPos val="r"/>
      <c:overlay val="0"/>
      <c:txPr>
        <a:bodyPr/>
        <a:lstStyle/>
        <a:p>
          <a:pPr>
            <a:defRPr sz="1050">
              <a:latin typeface="+mj-lt"/>
            </a:defRPr>
          </a:pPr>
          <a:endParaRPr lang="en-US"/>
        </a:p>
      </c:txPr>
    </c:legend>
    <c:plotVisOnly val="1"/>
    <c:dispBlanksAs val="gap"/>
    <c:showDLblsOverMax val="0"/>
  </c:chart>
  <c:spPr>
    <a:ln w="31750">
      <a:solidFill>
        <a:sysClr val="windowText" lastClr="000000"/>
      </a:solid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Low Birth Weight Babies</a:t>
            </a:r>
          </a:p>
        </c:rich>
      </c:tx>
      <c:overlay val="0"/>
    </c:title>
    <c:autoTitleDeleted val="0"/>
    <c:plotArea>
      <c:layout/>
      <c:lineChart>
        <c:grouping val="standard"/>
        <c:varyColors val="0"/>
        <c:ser>
          <c:idx val="0"/>
          <c:order val="0"/>
          <c:tx>
            <c:strRef>
              <c:f>'[ExcelTemplate.xlsx]Low Birthweight'!$A$2</c:f>
              <c:strCache>
                <c:ptCount val="1"/>
                <c:pt idx="0">
                  <c:v>Linn</c:v>
                </c:pt>
              </c:strCache>
            </c:strRef>
          </c:tx>
          <c:marker>
            <c:symbol val="none"/>
          </c:marker>
          <c:cat>
            <c:numRef>
              <c:f>'[ExcelTemplate.xlsx]Low Birthweight'!$B$1:$F$1</c:f>
              <c:numCache>
                <c:formatCode>General</c:formatCode>
                <c:ptCount val="5"/>
                <c:pt idx="0">
                  <c:v>2002</c:v>
                </c:pt>
                <c:pt idx="1">
                  <c:v>2003</c:v>
                </c:pt>
                <c:pt idx="2">
                  <c:v>2004</c:v>
                </c:pt>
                <c:pt idx="3">
                  <c:v>2005</c:v>
                </c:pt>
                <c:pt idx="4">
                  <c:v>2006</c:v>
                </c:pt>
              </c:numCache>
            </c:numRef>
          </c:cat>
          <c:val>
            <c:numRef>
              <c:f>'[ExcelTemplate.xlsx]Low Birthweight'!$B$2:$F$2</c:f>
              <c:numCache>
                <c:formatCode>0%</c:formatCode>
                <c:ptCount val="5"/>
                <c:pt idx="0">
                  <c:v>6.9000000000000006E-2</c:v>
                </c:pt>
                <c:pt idx="1">
                  <c:v>7.0000000000000007E-2</c:v>
                </c:pt>
                <c:pt idx="2">
                  <c:v>7.0999999999999994E-2</c:v>
                </c:pt>
                <c:pt idx="3">
                  <c:v>7.0999999999999994E-2</c:v>
                </c:pt>
                <c:pt idx="4">
                  <c:v>0.06</c:v>
                </c:pt>
              </c:numCache>
            </c:numRef>
          </c:val>
          <c:smooth val="0"/>
        </c:ser>
        <c:ser>
          <c:idx val="1"/>
          <c:order val="1"/>
          <c:tx>
            <c:strRef>
              <c:f>'[ExcelTemplate.xlsx]Low Birthweight'!$A$3</c:f>
              <c:strCache>
                <c:ptCount val="1"/>
                <c:pt idx="0">
                  <c:v>Missouri</c:v>
                </c:pt>
              </c:strCache>
            </c:strRef>
          </c:tx>
          <c:marker>
            <c:symbol val="none"/>
          </c:marker>
          <c:cat>
            <c:numRef>
              <c:f>'[ExcelTemplate.xlsx]Low Birthweight'!$B$1:$F$1</c:f>
              <c:numCache>
                <c:formatCode>General</c:formatCode>
                <c:ptCount val="5"/>
                <c:pt idx="0">
                  <c:v>2002</c:v>
                </c:pt>
                <c:pt idx="1">
                  <c:v>2003</c:v>
                </c:pt>
                <c:pt idx="2">
                  <c:v>2004</c:v>
                </c:pt>
                <c:pt idx="3">
                  <c:v>2005</c:v>
                </c:pt>
                <c:pt idx="4">
                  <c:v>2006</c:v>
                </c:pt>
              </c:numCache>
            </c:numRef>
          </c:cat>
          <c:val>
            <c:numRef>
              <c:f>'[ExcelTemplate.xlsx]Low Birthweight'!$B$3:$F$3</c:f>
              <c:numCache>
                <c:formatCode>0%</c:formatCode>
                <c:ptCount val="5"/>
                <c:pt idx="0">
                  <c:v>7.9000000000000001E-2</c:v>
                </c:pt>
                <c:pt idx="1">
                  <c:v>0.08</c:v>
                </c:pt>
                <c:pt idx="2">
                  <c:v>8.1000000000000003E-2</c:v>
                </c:pt>
                <c:pt idx="3">
                  <c:v>8.1000000000000003E-2</c:v>
                </c:pt>
                <c:pt idx="4">
                  <c:v>8.1000000000000003E-2</c:v>
                </c:pt>
              </c:numCache>
            </c:numRef>
          </c:val>
          <c:smooth val="0"/>
        </c:ser>
        <c:dLbls>
          <c:showLegendKey val="0"/>
          <c:showVal val="0"/>
          <c:showCatName val="0"/>
          <c:showSerName val="0"/>
          <c:showPercent val="0"/>
          <c:showBubbleSize val="0"/>
        </c:dLbls>
        <c:marker val="1"/>
        <c:smooth val="0"/>
        <c:axId val="276126208"/>
        <c:axId val="273082624"/>
      </c:lineChart>
      <c:catAx>
        <c:axId val="276126208"/>
        <c:scaling>
          <c:orientation val="minMax"/>
        </c:scaling>
        <c:delete val="0"/>
        <c:axPos val="b"/>
        <c:numFmt formatCode="General" sourceLinked="1"/>
        <c:majorTickMark val="out"/>
        <c:minorTickMark val="none"/>
        <c:tickLblPos val="nextTo"/>
        <c:txPr>
          <a:bodyPr/>
          <a:lstStyle/>
          <a:p>
            <a:pPr>
              <a:defRPr>
                <a:latin typeface="+mj-lt"/>
              </a:defRPr>
            </a:pPr>
            <a:endParaRPr lang="en-US"/>
          </a:p>
        </c:txPr>
        <c:crossAx val="273082624"/>
        <c:crosses val="autoZero"/>
        <c:auto val="1"/>
        <c:lblAlgn val="ctr"/>
        <c:lblOffset val="100"/>
        <c:noMultiLvlLbl val="0"/>
      </c:catAx>
      <c:valAx>
        <c:axId val="273082624"/>
        <c:scaling>
          <c:orientation val="minMax"/>
        </c:scaling>
        <c:delete val="0"/>
        <c:axPos val="l"/>
        <c:majorGridlines/>
        <c:numFmt formatCode="0%" sourceLinked="1"/>
        <c:majorTickMark val="out"/>
        <c:minorTickMark val="none"/>
        <c:tickLblPos val="nextTo"/>
        <c:txPr>
          <a:bodyPr/>
          <a:lstStyle/>
          <a:p>
            <a:pPr>
              <a:defRPr>
                <a:latin typeface="+mj-lt"/>
              </a:defRPr>
            </a:pPr>
            <a:endParaRPr lang="en-US"/>
          </a:p>
        </c:txPr>
        <c:crossAx val="276126208"/>
        <c:crosses val="autoZero"/>
        <c:crossBetween val="between"/>
      </c:valAx>
    </c:plotArea>
    <c:legend>
      <c:legendPos val="r"/>
      <c:overlay val="0"/>
      <c:txPr>
        <a:bodyPr/>
        <a:lstStyle/>
        <a:p>
          <a:pPr>
            <a:defRPr sz="1050">
              <a:latin typeface="+mj-lt"/>
            </a:defRPr>
          </a:pPr>
          <a:endParaRPr lang="en-US"/>
        </a:p>
      </c:txPr>
    </c:legend>
    <c:plotVisOnly val="1"/>
    <c:dispBlanksAs val="gap"/>
    <c:showDLblsOverMax val="0"/>
  </c:chart>
  <c:spPr>
    <a:ln w="31750">
      <a:solidFill>
        <a:sysClr val="windowText" lastClr="000000"/>
      </a:solid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Infant Mortality </a:t>
            </a:r>
          </a:p>
        </c:rich>
      </c:tx>
      <c:overlay val="0"/>
    </c:title>
    <c:autoTitleDeleted val="0"/>
    <c:plotArea>
      <c:layout/>
      <c:lineChart>
        <c:grouping val="standard"/>
        <c:varyColors val="0"/>
        <c:ser>
          <c:idx val="0"/>
          <c:order val="0"/>
          <c:tx>
            <c:strRef>
              <c:f>'[ExcelTemplate.xlsx]Infant Mortality'!$A$2</c:f>
              <c:strCache>
                <c:ptCount val="1"/>
                <c:pt idx="0">
                  <c:v>Linn</c:v>
                </c:pt>
              </c:strCache>
            </c:strRef>
          </c:tx>
          <c:marker>
            <c:symbol val="none"/>
          </c:marker>
          <c:cat>
            <c:numRef>
              <c:f>'[ExcelTemplate.xlsx]Infant Mortality'!$B$1:$F$1</c:f>
              <c:numCache>
                <c:formatCode>General</c:formatCode>
                <c:ptCount val="5"/>
                <c:pt idx="0">
                  <c:v>2002</c:v>
                </c:pt>
                <c:pt idx="1">
                  <c:v>2003</c:v>
                </c:pt>
                <c:pt idx="2">
                  <c:v>2004</c:v>
                </c:pt>
                <c:pt idx="3">
                  <c:v>2005</c:v>
                </c:pt>
                <c:pt idx="4">
                  <c:v>2006</c:v>
                </c:pt>
              </c:numCache>
            </c:numRef>
          </c:cat>
          <c:val>
            <c:numRef>
              <c:f>'[ExcelTemplate.xlsx]Infant Mortality'!$B$2:$F$2</c:f>
              <c:numCache>
                <c:formatCode>General</c:formatCode>
                <c:ptCount val="5"/>
                <c:pt idx="0">
                  <c:v>4.9000000000000004</c:v>
                </c:pt>
                <c:pt idx="1">
                  <c:v>4.8</c:v>
                </c:pt>
                <c:pt idx="2">
                  <c:v>4.8</c:v>
                </c:pt>
                <c:pt idx="3">
                  <c:v>7.1</c:v>
                </c:pt>
                <c:pt idx="4">
                  <c:v>8.4</c:v>
                </c:pt>
              </c:numCache>
            </c:numRef>
          </c:val>
          <c:smooth val="0"/>
        </c:ser>
        <c:ser>
          <c:idx val="1"/>
          <c:order val="1"/>
          <c:tx>
            <c:strRef>
              <c:f>'[ExcelTemplate.xlsx]Infant Mortality'!$A$3</c:f>
              <c:strCache>
                <c:ptCount val="1"/>
                <c:pt idx="0">
                  <c:v>Missouri </c:v>
                </c:pt>
              </c:strCache>
            </c:strRef>
          </c:tx>
          <c:marker>
            <c:symbol val="none"/>
          </c:marker>
          <c:cat>
            <c:numRef>
              <c:f>'[ExcelTemplate.xlsx]Infant Mortality'!$B$1:$F$1</c:f>
              <c:numCache>
                <c:formatCode>General</c:formatCode>
                <c:ptCount val="5"/>
                <c:pt idx="0">
                  <c:v>2002</c:v>
                </c:pt>
                <c:pt idx="1">
                  <c:v>2003</c:v>
                </c:pt>
                <c:pt idx="2">
                  <c:v>2004</c:v>
                </c:pt>
                <c:pt idx="3">
                  <c:v>2005</c:v>
                </c:pt>
                <c:pt idx="4">
                  <c:v>2006</c:v>
                </c:pt>
              </c:numCache>
            </c:numRef>
          </c:cat>
          <c:val>
            <c:numRef>
              <c:f>'[ExcelTemplate.xlsx]Infant Mortality'!$B$3:$F$3</c:f>
              <c:numCache>
                <c:formatCode>General</c:formatCode>
                <c:ptCount val="5"/>
                <c:pt idx="0">
                  <c:v>7.7</c:v>
                </c:pt>
                <c:pt idx="1">
                  <c:v>7.7</c:v>
                </c:pt>
                <c:pt idx="2">
                  <c:v>7.7</c:v>
                </c:pt>
                <c:pt idx="3">
                  <c:v>7.5</c:v>
                </c:pt>
                <c:pt idx="4">
                  <c:v>7.4</c:v>
                </c:pt>
              </c:numCache>
            </c:numRef>
          </c:val>
          <c:smooth val="0"/>
        </c:ser>
        <c:dLbls>
          <c:showLegendKey val="0"/>
          <c:showVal val="0"/>
          <c:showCatName val="0"/>
          <c:showSerName val="0"/>
          <c:showPercent val="0"/>
          <c:showBubbleSize val="0"/>
        </c:dLbls>
        <c:marker val="1"/>
        <c:smooth val="0"/>
        <c:axId val="276823552"/>
        <c:axId val="273084352"/>
      </c:lineChart>
      <c:catAx>
        <c:axId val="276823552"/>
        <c:scaling>
          <c:orientation val="minMax"/>
        </c:scaling>
        <c:delete val="0"/>
        <c:axPos val="b"/>
        <c:numFmt formatCode="General" sourceLinked="1"/>
        <c:majorTickMark val="out"/>
        <c:minorTickMark val="none"/>
        <c:tickLblPos val="nextTo"/>
        <c:txPr>
          <a:bodyPr/>
          <a:lstStyle/>
          <a:p>
            <a:pPr>
              <a:defRPr>
                <a:latin typeface="+mj-lt"/>
              </a:defRPr>
            </a:pPr>
            <a:endParaRPr lang="en-US"/>
          </a:p>
        </c:txPr>
        <c:crossAx val="273084352"/>
        <c:crosses val="autoZero"/>
        <c:auto val="1"/>
        <c:lblAlgn val="ctr"/>
        <c:lblOffset val="100"/>
        <c:noMultiLvlLbl val="0"/>
      </c:catAx>
      <c:valAx>
        <c:axId val="273084352"/>
        <c:scaling>
          <c:orientation val="minMax"/>
        </c:scaling>
        <c:delete val="0"/>
        <c:axPos val="l"/>
        <c:majorGridlines/>
        <c:numFmt formatCode="General" sourceLinked="1"/>
        <c:majorTickMark val="out"/>
        <c:minorTickMark val="none"/>
        <c:tickLblPos val="nextTo"/>
        <c:txPr>
          <a:bodyPr/>
          <a:lstStyle/>
          <a:p>
            <a:pPr>
              <a:defRPr>
                <a:latin typeface="+mj-lt"/>
              </a:defRPr>
            </a:pPr>
            <a:endParaRPr lang="en-US"/>
          </a:p>
        </c:txPr>
        <c:crossAx val="276823552"/>
        <c:crosses val="autoZero"/>
        <c:crossBetween val="between"/>
      </c:valAx>
    </c:plotArea>
    <c:legend>
      <c:legendPos val="r"/>
      <c:overlay val="0"/>
      <c:txPr>
        <a:bodyPr/>
        <a:lstStyle/>
        <a:p>
          <a:pPr>
            <a:defRPr sz="1050">
              <a:latin typeface="+mj-lt"/>
            </a:defRPr>
          </a:pPr>
          <a:endParaRPr lang="en-US"/>
        </a:p>
      </c:txPr>
    </c:legend>
    <c:plotVisOnly val="1"/>
    <c:dispBlanksAs val="gap"/>
    <c:showDLblsOverMax val="0"/>
  </c:chart>
  <c:spPr>
    <a:ln w="31750">
      <a:solidFill>
        <a:sysClr val="windowText" lastClr="000000"/>
      </a:solid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Teen Violent</a:t>
            </a:r>
            <a:r>
              <a:rPr lang="en-US" baseline="0">
                <a:latin typeface="+mj-lt"/>
              </a:rPr>
              <a:t> Deaths</a:t>
            </a:r>
            <a:endParaRPr lang="en-US">
              <a:latin typeface="+mj-lt"/>
            </a:endParaRPr>
          </a:p>
        </c:rich>
      </c:tx>
      <c:overlay val="0"/>
    </c:title>
    <c:autoTitleDeleted val="0"/>
    <c:plotArea>
      <c:layout/>
      <c:lineChart>
        <c:grouping val="standard"/>
        <c:varyColors val="0"/>
        <c:ser>
          <c:idx val="0"/>
          <c:order val="0"/>
          <c:tx>
            <c:strRef>
              <c:f>'[ExcelTemplate.xlsx]Violent Deaths'!$A$2</c:f>
              <c:strCache>
                <c:ptCount val="1"/>
                <c:pt idx="0">
                  <c:v>Linn</c:v>
                </c:pt>
              </c:strCache>
            </c:strRef>
          </c:tx>
          <c:marker>
            <c:symbol val="none"/>
          </c:marker>
          <c:cat>
            <c:numRef>
              <c:f>'[ExcelTemplate.xlsx]Violent Deaths'!$B$1:$F$1</c:f>
              <c:numCache>
                <c:formatCode>General</c:formatCode>
                <c:ptCount val="5"/>
                <c:pt idx="0">
                  <c:v>2002</c:v>
                </c:pt>
                <c:pt idx="1">
                  <c:v>2003</c:v>
                </c:pt>
                <c:pt idx="2">
                  <c:v>2004</c:v>
                </c:pt>
                <c:pt idx="3">
                  <c:v>2005</c:v>
                </c:pt>
                <c:pt idx="4">
                  <c:v>2006</c:v>
                </c:pt>
              </c:numCache>
            </c:numRef>
          </c:cat>
          <c:val>
            <c:numRef>
              <c:f>'[ExcelTemplate.xlsx]Violent Deaths'!$B$2:$F$2</c:f>
              <c:numCache>
                <c:formatCode>General</c:formatCode>
                <c:ptCount val="5"/>
                <c:pt idx="0">
                  <c:v>80</c:v>
                </c:pt>
                <c:pt idx="1">
                  <c:v>61.8</c:v>
                </c:pt>
                <c:pt idx="2">
                  <c:v>42.9</c:v>
                </c:pt>
                <c:pt idx="3">
                  <c:v>44.5</c:v>
                </c:pt>
                <c:pt idx="4">
                  <c:v>46.7</c:v>
                </c:pt>
              </c:numCache>
            </c:numRef>
          </c:val>
          <c:smooth val="0"/>
        </c:ser>
        <c:ser>
          <c:idx val="1"/>
          <c:order val="1"/>
          <c:tx>
            <c:strRef>
              <c:f>'[ExcelTemplate.xlsx]Violent Deaths'!$A$3</c:f>
              <c:strCache>
                <c:ptCount val="1"/>
                <c:pt idx="0">
                  <c:v>Missouri</c:v>
                </c:pt>
              </c:strCache>
            </c:strRef>
          </c:tx>
          <c:marker>
            <c:symbol val="none"/>
          </c:marker>
          <c:cat>
            <c:numRef>
              <c:f>'[ExcelTemplate.xlsx]Violent Deaths'!$B$1:$F$1</c:f>
              <c:numCache>
                <c:formatCode>General</c:formatCode>
                <c:ptCount val="5"/>
                <c:pt idx="0">
                  <c:v>2002</c:v>
                </c:pt>
                <c:pt idx="1">
                  <c:v>2003</c:v>
                </c:pt>
                <c:pt idx="2">
                  <c:v>2004</c:v>
                </c:pt>
                <c:pt idx="3">
                  <c:v>2005</c:v>
                </c:pt>
                <c:pt idx="4">
                  <c:v>2006</c:v>
                </c:pt>
              </c:numCache>
            </c:numRef>
          </c:cat>
          <c:val>
            <c:numRef>
              <c:f>'[ExcelTemplate.xlsx]Violent Deaths'!$B$3:$F$3</c:f>
              <c:numCache>
                <c:formatCode>General</c:formatCode>
                <c:ptCount val="5"/>
                <c:pt idx="0">
                  <c:v>78.7</c:v>
                </c:pt>
                <c:pt idx="1">
                  <c:v>64.599999999999994</c:v>
                </c:pt>
                <c:pt idx="2">
                  <c:v>65.5</c:v>
                </c:pt>
                <c:pt idx="3">
                  <c:v>65.099999999999994</c:v>
                </c:pt>
                <c:pt idx="4">
                  <c:v>66.7</c:v>
                </c:pt>
              </c:numCache>
            </c:numRef>
          </c:val>
          <c:smooth val="0"/>
        </c:ser>
        <c:dLbls>
          <c:showLegendKey val="0"/>
          <c:showVal val="0"/>
          <c:showCatName val="0"/>
          <c:showSerName val="0"/>
          <c:showPercent val="0"/>
          <c:showBubbleSize val="0"/>
        </c:dLbls>
        <c:marker val="1"/>
        <c:smooth val="0"/>
        <c:axId val="280482816"/>
        <c:axId val="267303104"/>
      </c:lineChart>
      <c:catAx>
        <c:axId val="280482816"/>
        <c:scaling>
          <c:orientation val="minMax"/>
        </c:scaling>
        <c:delete val="0"/>
        <c:axPos val="b"/>
        <c:numFmt formatCode="General" sourceLinked="1"/>
        <c:majorTickMark val="out"/>
        <c:minorTickMark val="none"/>
        <c:tickLblPos val="nextTo"/>
        <c:txPr>
          <a:bodyPr/>
          <a:lstStyle/>
          <a:p>
            <a:pPr>
              <a:defRPr>
                <a:latin typeface="+mj-lt"/>
              </a:defRPr>
            </a:pPr>
            <a:endParaRPr lang="en-US"/>
          </a:p>
        </c:txPr>
        <c:crossAx val="267303104"/>
        <c:crosses val="autoZero"/>
        <c:auto val="1"/>
        <c:lblAlgn val="ctr"/>
        <c:lblOffset val="100"/>
        <c:noMultiLvlLbl val="0"/>
      </c:catAx>
      <c:valAx>
        <c:axId val="267303104"/>
        <c:scaling>
          <c:orientation val="minMax"/>
        </c:scaling>
        <c:delete val="0"/>
        <c:axPos val="l"/>
        <c:majorGridlines/>
        <c:title>
          <c:tx>
            <c:rich>
              <a:bodyPr rot="-5400000" vert="horz"/>
              <a:lstStyle/>
              <a:p>
                <a:pPr>
                  <a:defRPr>
                    <a:latin typeface="+mj-lt"/>
                  </a:defRPr>
                </a:pPr>
                <a:r>
                  <a:rPr lang="en-US">
                    <a:latin typeface="+mj-lt"/>
                  </a:rPr>
                  <a:t>Deaths per 100,000</a:t>
                </a:r>
              </a:p>
            </c:rich>
          </c:tx>
          <c:overlay val="0"/>
        </c:title>
        <c:numFmt formatCode="General" sourceLinked="1"/>
        <c:majorTickMark val="out"/>
        <c:minorTickMark val="none"/>
        <c:tickLblPos val="nextTo"/>
        <c:txPr>
          <a:bodyPr/>
          <a:lstStyle/>
          <a:p>
            <a:pPr>
              <a:defRPr>
                <a:latin typeface="+mj-lt"/>
              </a:defRPr>
            </a:pPr>
            <a:endParaRPr lang="en-US"/>
          </a:p>
        </c:txPr>
        <c:crossAx val="280482816"/>
        <c:crosses val="autoZero"/>
        <c:crossBetween val="between"/>
      </c:valAx>
    </c:plotArea>
    <c:legend>
      <c:legendPos val="r"/>
      <c:overlay val="0"/>
      <c:txPr>
        <a:bodyPr/>
        <a:lstStyle/>
        <a:p>
          <a:pPr>
            <a:defRPr sz="1050">
              <a:latin typeface="+mj-lt"/>
            </a:defRPr>
          </a:pPr>
          <a:endParaRPr lang="en-US"/>
        </a:p>
      </c:txPr>
    </c:legend>
    <c:plotVisOnly val="1"/>
    <c:dispBlanksAs val="gap"/>
    <c:showDLblsOverMax val="0"/>
  </c:chart>
  <c:spPr>
    <a:ln w="31750">
      <a:solidFill>
        <a:sysClr val="windowText" lastClr="000000"/>
      </a:solid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mj-lt"/>
              </a:defRPr>
            </a:pPr>
            <a:r>
              <a:rPr lang="en-US">
                <a:latin typeface="+mj-lt"/>
              </a:rPr>
              <a:t>Children in Poverty</a:t>
            </a:r>
          </a:p>
        </c:rich>
      </c:tx>
      <c:overlay val="0"/>
    </c:title>
    <c:autoTitleDeleted val="0"/>
    <c:plotArea>
      <c:layout/>
      <c:lineChart>
        <c:grouping val="standard"/>
        <c:varyColors val="0"/>
        <c:ser>
          <c:idx val="0"/>
          <c:order val="0"/>
          <c:tx>
            <c:strRef>
              <c:f>'[ExcelTemplate.xlsx]Child Poverty '!$A$2</c:f>
              <c:strCache>
                <c:ptCount val="1"/>
                <c:pt idx="0">
                  <c:v>Linn</c:v>
                </c:pt>
              </c:strCache>
            </c:strRef>
          </c:tx>
          <c:marker>
            <c:symbol val="none"/>
          </c:marker>
          <c:cat>
            <c:numRef>
              <c:f>'[ExcelTemplate.xlsx]Child Poverty '!$B$1:$D$1</c:f>
              <c:numCache>
                <c:formatCode>General</c:formatCode>
                <c:ptCount val="3"/>
                <c:pt idx="0">
                  <c:v>1990</c:v>
                </c:pt>
                <c:pt idx="1">
                  <c:v>2000</c:v>
                </c:pt>
                <c:pt idx="2">
                  <c:v>2007</c:v>
                </c:pt>
              </c:numCache>
            </c:numRef>
          </c:cat>
          <c:val>
            <c:numRef>
              <c:f>'[ExcelTemplate.xlsx]Child Poverty '!$B$2:$D$2</c:f>
              <c:numCache>
                <c:formatCode>0%</c:formatCode>
                <c:ptCount val="3"/>
                <c:pt idx="0">
                  <c:v>0.20100000000000001</c:v>
                </c:pt>
                <c:pt idx="1">
                  <c:v>0.20200000000000001</c:v>
                </c:pt>
                <c:pt idx="2">
                  <c:v>0.22</c:v>
                </c:pt>
              </c:numCache>
            </c:numRef>
          </c:val>
          <c:smooth val="0"/>
        </c:ser>
        <c:ser>
          <c:idx val="1"/>
          <c:order val="1"/>
          <c:tx>
            <c:strRef>
              <c:f>'[ExcelTemplate.xlsx]Child Poverty '!$A$3</c:f>
              <c:strCache>
                <c:ptCount val="1"/>
                <c:pt idx="0">
                  <c:v>Missouri </c:v>
                </c:pt>
              </c:strCache>
            </c:strRef>
          </c:tx>
          <c:marker>
            <c:symbol val="none"/>
          </c:marker>
          <c:cat>
            <c:numRef>
              <c:f>'[ExcelTemplate.xlsx]Child Poverty '!$B$1:$D$1</c:f>
              <c:numCache>
                <c:formatCode>General</c:formatCode>
                <c:ptCount val="3"/>
                <c:pt idx="0">
                  <c:v>1990</c:v>
                </c:pt>
                <c:pt idx="1">
                  <c:v>2000</c:v>
                </c:pt>
                <c:pt idx="2">
                  <c:v>2007</c:v>
                </c:pt>
              </c:numCache>
            </c:numRef>
          </c:cat>
          <c:val>
            <c:numRef>
              <c:f>'[ExcelTemplate.xlsx]Child Poverty '!$B$3:$D$3</c:f>
              <c:numCache>
                <c:formatCode>0%</c:formatCode>
                <c:ptCount val="3"/>
                <c:pt idx="0">
                  <c:v>0.17699999999999999</c:v>
                </c:pt>
                <c:pt idx="1">
                  <c:v>0.153</c:v>
                </c:pt>
                <c:pt idx="2">
                  <c:v>0.183</c:v>
                </c:pt>
              </c:numCache>
            </c:numRef>
          </c:val>
          <c:smooth val="0"/>
        </c:ser>
        <c:dLbls>
          <c:showLegendKey val="0"/>
          <c:showVal val="0"/>
          <c:showCatName val="0"/>
          <c:showSerName val="0"/>
          <c:showPercent val="0"/>
          <c:showBubbleSize val="0"/>
        </c:dLbls>
        <c:marker val="1"/>
        <c:smooth val="0"/>
        <c:axId val="280484864"/>
        <c:axId val="273087232"/>
      </c:lineChart>
      <c:catAx>
        <c:axId val="280484864"/>
        <c:scaling>
          <c:orientation val="minMax"/>
        </c:scaling>
        <c:delete val="0"/>
        <c:axPos val="b"/>
        <c:numFmt formatCode="General" sourceLinked="1"/>
        <c:majorTickMark val="out"/>
        <c:minorTickMark val="none"/>
        <c:tickLblPos val="nextTo"/>
        <c:txPr>
          <a:bodyPr/>
          <a:lstStyle/>
          <a:p>
            <a:pPr>
              <a:defRPr>
                <a:latin typeface="+mj-lt"/>
              </a:defRPr>
            </a:pPr>
            <a:endParaRPr lang="en-US"/>
          </a:p>
        </c:txPr>
        <c:crossAx val="273087232"/>
        <c:crosses val="autoZero"/>
        <c:auto val="1"/>
        <c:lblAlgn val="ctr"/>
        <c:lblOffset val="100"/>
        <c:noMultiLvlLbl val="0"/>
      </c:catAx>
      <c:valAx>
        <c:axId val="273087232"/>
        <c:scaling>
          <c:orientation val="minMax"/>
          <c:min val="0.1"/>
        </c:scaling>
        <c:delete val="0"/>
        <c:axPos val="l"/>
        <c:majorGridlines/>
        <c:numFmt formatCode="0%" sourceLinked="1"/>
        <c:majorTickMark val="out"/>
        <c:minorTickMark val="none"/>
        <c:tickLblPos val="nextTo"/>
        <c:txPr>
          <a:bodyPr/>
          <a:lstStyle/>
          <a:p>
            <a:pPr>
              <a:defRPr>
                <a:latin typeface="+mj-lt"/>
              </a:defRPr>
            </a:pPr>
            <a:endParaRPr lang="en-US"/>
          </a:p>
        </c:txPr>
        <c:crossAx val="280484864"/>
        <c:crosses val="autoZero"/>
        <c:crossBetween val="between"/>
      </c:valAx>
    </c:plotArea>
    <c:legend>
      <c:legendPos val="r"/>
      <c:overlay val="0"/>
      <c:txPr>
        <a:bodyPr/>
        <a:lstStyle/>
        <a:p>
          <a:pPr>
            <a:defRPr sz="1050">
              <a:latin typeface="+mj-lt"/>
            </a:defRPr>
          </a:pPr>
          <a:endParaRPr lang="en-US"/>
        </a:p>
      </c:txPr>
    </c:legend>
    <c:plotVisOnly val="1"/>
    <c:dispBlanksAs val="gap"/>
    <c:showDLblsOverMax val="0"/>
  </c:chart>
  <c:spPr>
    <a:noFill/>
    <a:ln w="31750">
      <a:solidFill>
        <a:sysClr val="windowText" lastClr="000000"/>
      </a:solid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Child Abuse and Neglect</a:t>
            </a:r>
          </a:p>
        </c:rich>
      </c:tx>
      <c:overlay val="0"/>
    </c:title>
    <c:autoTitleDeleted val="0"/>
    <c:plotArea>
      <c:layout/>
      <c:lineChart>
        <c:grouping val="standard"/>
        <c:varyColors val="0"/>
        <c:ser>
          <c:idx val="0"/>
          <c:order val="0"/>
          <c:tx>
            <c:strRef>
              <c:f>'[ExcelTemplate.xlsx]Child Mental Health'!$A$2</c:f>
              <c:strCache>
                <c:ptCount val="1"/>
                <c:pt idx="0">
                  <c:v>Linn</c:v>
                </c:pt>
              </c:strCache>
            </c:strRef>
          </c:tx>
          <c:marker>
            <c:symbol val="none"/>
          </c:marker>
          <c:cat>
            <c:numRef>
              <c:f>'[ExcelTemplate.xlsx]Child Mental Health'!$B$1:$F$1</c:f>
              <c:numCache>
                <c:formatCode>General</c:formatCode>
                <c:ptCount val="5"/>
                <c:pt idx="0">
                  <c:v>2004</c:v>
                </c:pt>
                <c:pt idx="1">
                  <c:v>2005</c:v>
                </c:pt>
                <c:pt idx="2">
                  <c:v>2006</c:v>
                </c:pt>
                <c:pt idx="3">
                  <c:v>2007</c:v>
                </c:pt>
                <c:pt idx="4">
                  <c:v>2008</c:v>
                </c:pt>
              </c:numCache>
            </c:numRef>
          </c:cat>
          <c:val>
            <c:numRef>
              <c:f>'[ExcelTemplate.xlsx]Child Mental Health'!$B$2:$F$2</c:f>
              <c:numCache>
                <c:formatCode>General</c:formatCode>
                <c:ptCount val="5"/>
                <c:pt idx="0">
                  <c:v>57.7</c:v>
                </c:pt>
                <c:pt idx="1">
                  <c:v>55.9</c:v>
                </c:pt>
                <c:pt idx="2">
                  <c:v>26.8</c:v>
                </c:pt>
                <c:pt idx="3">
                  <c:v>43.1</c:v>
                </c:pt>
                <c:pt idx="4">
                  <c:v>36.5</c:v>
                </c:pt>
              </c:numCache>
            </c:numRef>
          </c:val>
          <c:smooth val="0"/>
        </c:ser>
        <c:ser>
          <c:idx val="1"/>
          <c:order val="1"/>
          <c:tx>
            <c:strRef>
              <c:f>'[ExcelTemplate.xlsx]Child Mental Health'!$A$3</c:f>
              <c:strCache>
                <c:ptCount val="1"/>
                <c:pt idx="0">
                  <c:v>Missouri</c:v>
                </c:pt>
              </c:strCache>
            </c:strRef>
          </c:tx>
          <c:marker>
            <c:symbol val="none"/>
          </c:marker>
          <c:cat>
            <c:numRef>
              <c:f>'[ExcelTemplate.xlsx]Child Mental Health'!$B$1:$F$1</c:f>
              <c:numCache>
                <c:formatCode>General</c:formatCode>
                <c:ptCount val="5"/>
                <c:pt idx="0">
                  <c:v>2004</c:v>
                </c:pt>
                <c:pt idx="1">
                  <c:v>2005</c:v>
                </c:pt>
                <c:pt idx="2">
                  <c:v>2006</c:v>
                </c:pt>
                <c:pt idx="3">
                  <c:v>2007</c:v>
                </c:pt>
                <c:pt idx="4">
                  <c:v>2008</c:v>
                </c:pt>
              </c:numCache>
            </c:numRef>
          </c:cat>
          <c:val>
            <c:numRef>
              <c:f>'[ExcelTemplate.xlsx]Child Mental Health'!$B$3:$F$3</c:f>
              <c:numCache>
                <c:formatCode>General</c:formatCode>
                <c:ptCount val="5"/>
                <c:pt idx="0">
                  <c:v>41</c:v>
                </c:pt>
                <c:pt idx="1">
                  <c:v>40.5</c:v>
                </c:pt>
                <c:pt idx="2">
                  <c:v>32.700000000000003</c:v>
                </c:pt>
                <c:pt idx="3">
                  <c:v>32.6</c:v>
                </c:pt>
                <c:pt idx="4">
                  <c:v>32.1</c:v>
                </c:pt>
              </c:numCache>
            </c:numRef>
          </c:val>
          <c:smooth val="0"/>
        </c:ser>
        <c:dLbls>
          <c:showLegendKey val="0"/>
          <c:showVal val="0"/>
          <c:showCatName val="0"/>
          <c:showSerName val="0"/>
          <c:showPercent val="0"/>
          <c:showBubbleSize val="0"/>
        </c:dLbls>
        <c:marker val="1"/>
        <c:smooth val="0"/>
        <c:axId val="280612864"/>
        <c:axId val="276603456"/>
      </c:lineChart>
      <c:catAx>
        <c:axId val="280612864"/>
        <c:scaling>
          <c:orientation val="minMax"/>
        </c:scaling>
        <c:delete val="0"/>
        <c:axPos val="b"/>
        <c:numFmt formatCode="General" sourceLinked="1"/>
        <c:majorTickMark val="out"/>
        <c:minorTickMark val="none"/>
        <c:tickLblPos val="nextTo"/>
        <c:txPr>
          <a:bodyPr/>
          <a:lstStyle/>
          <a:p>
            <a:pPr>
              <a:defRPr sz="1000">
                <a:latin typeface="+mj-lt"/>
              </a:defRPr>
            </a:pPr>
            <a:endParaRPr lang="en-US"/>
          </a:p>
        </c:txPr>
        <c:crossAx val="276603456"/>
        <c:crosses val="autoZero"/>
        <c:auto val="1"/>
        <c:lblAlgn val="ctr"/>
        <c:lblOffset val="100"/>
        <c:noMultiLvlLbl val="0"/>
      </c:catAx>
      <c:valAx>
        <c:axId val="276603456"/>
        <c:scaling>
          <c:orientation val="minMax"/>
        </c:scaling>
        <c:delete val="0"/>
        <c:axPos val="l"/>
        <c:majorGridlines/>
        <c:title>
          <c:tx>
            <c:rich>
              <a:bodyPr rot="-5400000" vert="horz"/>
              <a:lstStyle/>
              <a:p>
                <a:pPr>
                  <a:defRPr/>
                </a:pPr>
                <a:r>
                  <a:rPr lang="en-US">
                    <a:latin typeface="+mj-lt"/>
                  </a:rPr>
                  <a:t>per 1000 children</a:t>
                </a:r>
              </a:p>
            </c:rich>
          </c:tx>
          <c:overlay val="0"/>
        </c:title>
        <c:numFmt formatCode="General" sourceLinked="1"/>
        <c:majorTickMark val="out"/>
        <c:minorTickMark val="none"/>
        <c:tickLblPos val="nextTo"/>
        <c:txPr>
          <a:bodyPr/>
          <a:lstStyle/>
          <a:p>
            <a:pPr>
              <a:defRPr>
                <a:latin typeface="+mj-lt"/>
              </a:defRPr>
            </a:pPr>
            <a:endParaRPr lang="en-US"/>
          </a:p>
        </c:txPr>
        <c:crossAx val="280612864"/>
        <c:crosses val="autoZero"/>
        <c:crossBetween val="between"/>
      </c:valAx>
    </c:plotArea>
    <c:legend>
      <c:legendPos val="r"/>
      <c:overlay val="0"/>
      <c:txPr>
        <a:bodyPr/>
        <a:lstStyle/>
        <a:p>
          <a:pPr>
            <a:defRPr sz="1050">
              <a:latin typeface="+mj-lt"/>
            </a:defRPr>
          </a:pPr>
          <a:endParaRPr lang="en-US"/>
        </a:p>
      </c:txPr>
    </c:legend>
    <c:plotVisOnly val="1"/>
    <c:dispBlanksAs val="gap"/>
    <c:showDLblsOverMax val="0"/>
  </c:chart>
  <c:spPr>
    <a:ln w="31750">
      <a:solidFill>
        <a:sysClr val="windowText" lastClr="000000"/>
      </a:solid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Death Measures</a:t>
            </a:r>
          </a:p>
        </c:rich>
      </c:tx>
      <c:overlay val="0"/>
    </c:title>
    <c:autoTitleDeleted val="0"/>
    <c:plotArea>
      <c:layout/>
      <c:barChart>
        <c:barDir val="col"/>
        <c:grouping val="clustered"/>
        <c:varyColors val="0"/>
        <c:ser>
          <c:idx val="0"/>
          <c:order val="0"/>
          <c:tx>
            <c:strRef>
              <c:f>'Death Measures'!$A$2</c:f>
              <c:strCache>
                <c:ptCount val="1"/>
                <c:pt idx="0">
                  <c:v>Linn</c:v>
                </c:pt>
              </c:strCache>
            </c:strRef>
          </c:tx>
          <c:invertIfNegative val="0"/>
          <c:cat>
            <c:strRef>
              <c:f>'Death Measures'!$B$1:$J$1</c:f>
              <c:strCache>
                <c:ptCount val="9"/>
                <c:pt idx="0">
                  <c:v>Malignant Neoplasms (Cancer)</c:v>
                </c:pt>
                <c:pt idx="1">
                  <c:v>Heart Disease</c:v>
                </c:pt>
                <c:pt idx="2">
                  <c:v>Diabetes</c:v>
                </c:pt>
                <c:pt idx="3">
                  <c:v>Homicide</c:v>
                </c:pt>
                <c:pt idx="4">
                  <c:v>Vehicle Accidents </c:v>
                </c:pt>
                <c:pt idx="5">
                  <c:v>Unintentional Injuries</c:v>
                </c:pt>
                <c:pt idx="6">
                  <c:v>Stroke</c:v>
                </c:pt>
                <c:pt idx="7">
                  <c:v>Suicide</c:v>
                </c:pt>
                <c:pt idx="8">
                  <c:v>Smoking</c:v>
                </c:pt>
              </c:strCache>
            </c:strRef>
          </c:cat>
          <c:val>
            <c:numRef>
              <c:f>'Death Measures'!$B$2:$J$2</c:f>
              <c:numCache>
                <c:formatCode>General</c:formatCode>
                <c:ptCount val="9"/>
                <c:pt idx="0">
                  <c:v>200.7</c:v>
                </c:pt>
                <c:pt idx="1">
                  <c:v>342.5</c:v>
                </c:pt>
                <c:pt idx="2">
                  <c:v>32.700000000000003</c:v>
                </c:pt>
                <c:pt idx="3">
                  <c:v>0</c:v>
                </c:pt>
                <c:pt idx="4">
                  <c:v>56.9</c:v>
                </c:pt>
                <c:pt idx="5">
                  <c:v>59.6</c:v>
                </c:pt>
                <c:pt idx="6">
                  <c:v>90.4</c:v>
                </c:pt>
                <c:pt idx="7">
                  <c:v>20.8</c:v>
                </c:pt>
                <c:pt idx="8">
                  <c:v>150.19999999999999</c:v>
                </c:pt>
              </c:numCache>
            </c:numRef>
          </c:val>
        </c:ser>
        <c:ser>
          <c:idx val="1"/>
          <c:order val="1"/>
          <c:tx>
            <c:strRef>
              <c:f>'Death Measures'!$A$3</c:f>
              <c:strCache>
                <c:ptCount val="1"/>
                <c:pt idx="0">
                  <c:v>Missouri</c:v>
                </c:pt>
              </c:strCache>
            </c:strRef>
          </c:tx>
          <c:invertIfNegative val="0"/>
          <c:cat>
            <c:strRef>
              <c:f>'Death Measures'!$B$1:$J$1</c:f>
              <c:strCache>
                <c:ptCount val="9"/>
                <c:pt idx="0">
                  <c:v>Malignant Neoplasms (Cancer)</c:v>
                </c:pt>
                <c:pt idx="1">
                  <c:v>Heart Disease</c:v>
                </c:pt>
                <c:pt idx="2">
                  <c:v>Diabetes</c:v>
                </c:pt>
                <c:pt idx="3">
                  <c:v>Homicide</c:v>
                </c:pt>
                <c:pt idx="4">
                  <c:v>Vehicle Accidents </c:v>
                </c:pt>
                <c:pt idx="5">
                  <c:v>Unintentional Injuries</c:v>
                </c:pt>
                <c:pt idx="6">
                  <c:v>Stroke</c:v>
                </c:pt>
                <c:pt idx="7">
                  <c:v>Suicide</c:v>
                </c:pt>
                <c:pt idx="8">
                  <c:v>Smoking</c:v>
                </c:pt>
              </c:strCache>
            </c:strRef>
          </c:cat>
          <c:val>
            <c:numRef>
              <c:f>'Death Measures'!$B$3:$J$3</c:f>
              <c:numCache>
                <c:formatCode>General</c:formatCode>
                <c:ptCount val="9"/>
                <c:pt idx="0">
                  <c:v>197.7</c:v>
                </c:pt>
                <c:pt idx="1">
                  <c:v>245.6</c:v>
                </c:pt>
                <c:pt idx="2">
                  <c:v>23.78</c:v>
                </c:pt>
                <c:pt idx="3">
                  <c:v>7.08</c:v>
                </c:pt>
                <c:pt idx="4">
                  <c:v>18.579999999999998</c:v>
                </c:pt>
                <c:pt idx="5">
                  <c:v>44.97</c:v>
                </c:pt>
                <c:pt idx="6">
                  <c:v>54.92</c:v>
                </c:pt>
                <c:pt idx="7">
                  <c:v>12.85</c:v>
                </c:pt>
                <c:pt idx="8">
                  <c:v>152.22999999999999</c:v>
                </c:pt>
              </c:numCache>
            </c:numRef>
          </c:val>
        </c:ser>
        <c:ser>
          <c:idx val="2"/>
          <c:order val="2"/>
          <c:tx>
            <c:strRef>
              <c:f>'Death Measures'!$A$5</c:f>
              <c:strCache>
                <c:ptCount val="1"/>
                <c:pt idx="0">
                  <c:v>United States</c:v>
                </c:pt>
              </c:strCache>
            </c:strRef>
          </c:tx>
          <c:invertIfNegative val="0"/>
          <c:cat>
            <c:strRef>
              <c:f>'Death Measures'!$B$1:$J$1</c:f>
              <c:strCache>
                <c:ptCount val="9"/>
                <c:pt idx="0">
                  <c:v>Malignant Neoplasms (Cancer)</c:v>
                </c:pt>
                <c:pt idx="1">
                  <c:v>Heart Disease</c:v>
                </c:pt>
                <c:pt idx="2">
                  <c:v>Diabetes</c:v>
                </c:pt>
                <c:pt idx="3">
                  <c:v>Homicide</c:v>
                </c:pt>
                <c:pt idx="4">
                  <c:v>Vehicle Accidents </c:v>
                </c:pt>
                <c:pt idx="5">
                  <c:v>Unintentional Injuries</c:v>
                </c:pt>
                <c:pt idx="6">
                  <c:v>Stroke</c:v>
                </c:pt>
                <c:pt idx="7">
                  <c:v>Suicide</c:v>
                </c:pt>
                <c:pt idx="8">
                  <c:v>Smoking</c:v>
                </c:pt>
              </c:strCache>
            </c:strRef>
          </c:cat>
          <c:val>
            <c:numRef>
              <c:f>'Death Measures'!$B$5:$J$5</c:f>
              <c:numCache>
                <c:formatCode>General</c:formatCode>
                <c:ptCount val="9"/>
                <c:pt idx="0">
                  <c:v>184.9</c:v>
                </c:pt>
                <c:pt idx="1">
                  <c:v>195.2</c:v>
                </c:pt>
                <c:pt idx="2">
                  <c:v>22.4</c:v>
                </c:pt>
                <c:pt idx="3">
                  <c:v>5.5</c:v>
                </c:pt>
                <c:pt idx="4">
                  <c:v>11.8</c:v>
                </c:pt>
                <c:pt idx="5">
                  <c:v>38.4</c:v>
                </c:pt>
                <c:pt idx="6">
                  <c:v>42</c:v>
                </c:pt>
                <c:pt idx="7">
                  <c:v>12</c:v>
                </c:pt>
                <c:pt idx="8">
                  <c:v>134.30000000000001</c:v>
                </c:pt>
              </c:numCache>
            </c:numRef>
          </c:val>
        </c:ser>
        <c:ser>
          <c:idx val="3"/>
          <c:order val="3"/>
          <c:tx>
            <c:strRef>
              <c:f>'Death Measures'!$A$6</c:f>
              <c:strCache>
                <c:ptCount val="1"/>
                <c:pt idx="0">
                  <c:v>Healthy People 2020</c:v>
                </c:pt>
              </c:strCache>
            </c:strRef>
          </c:tx>
          <c:invertIfNegative val="0"/>
          <c:cat>
            <c:strRef>
              <c:f>'Death Measures'!$B$1:$J$1</c:f>
              <c:strCache>
                <c:ptCount val="9"/>
                <c:pt idx="0">
                  <c:v>Malignant Neoplasms (Cancer)</c:v>
                </c:pt>
                <c:pt idx="1">
                  <c:v>Heart Disease</c:v>
                </c:pt>
                <c:pt idx="2">
                  <c:v>Diabetes</c:v>
                </c:pt>
                <c:pt idx="3">
                  <c:v>Homicide</c:v>
                </c:pt>
                <c:pt idx="4">
                  <c:v>Vehicle Accidents </c:v>
                </c:pt>
                <c:pt idx="5">
                  <c:v>Unintentional Injuries</c:v>
                </c:pt>
                <c:pt idx="6">
                  <c:v>Stroke</c:v>
                </c:pt>
                <c:pt idx="7">
                  <c:v>Suicide</c:v>
                </c:pt>
                <c:pt idx="8">
                  <c:v>Smoking</c:v>
                </c:pt>
              </c:strCache>
            </c:strRef>
          </c:cat>
          <c:val>
            <c:numRef>
              <c:f>'Death Measures'!$B$6:$J$6</c:f>
              <c:numCache>
                <c:formatCode>General</c:formatCode>
                <c:ptCount val="9"/>
                <c:pt idx="0">
                  <c:v>160.6</c:v>
                </c:pt>
                <c:pt idx="1">
                  <c:v>100.8</c:v>
                </c:pt>
                <c:pt idx="2">
                  <c:v>15</c:v>
                </c:pt>
                <c:pt idx="3">
                  <c:v>5.5</c:v>
                </c:pt>
                <c:pt idx="4">
                  <c:v>12.4</c:v>
                </c:pt>
                <c:pt idx="5">
                  <c:v>36</c:v>
                </c:pt>
                <c:pt idx="6">
                  <c:v>33.799999999999997</c:v>
                </c:pt>
                <c:pt idx="7">
                  <c:v>10.199999999999999</c:v>
                </c:pt>
                <c:pt idx="8">
                  <c:v>130.72</c:v>
                </c:pt>
              </c:numCache>
            </c:numRef>
          </c:val>
        </c:ser>
        <c:dLbls>
          <c:showLegendKey val="0"/>
          <c:showVal val="0"/>
          <c:showCatName val="0"/>
          <c:showSerName val="0"/>
          <c:showPercent val="0"/>
          <c:showBubbleSize val="0"/>
        </c:dLbls>
        <c:gapWidth val="150"/>
        <c:axId val="280614400"/>
        <c:axId val="273087808"/>
      </c:barChart>
      <c:catAx>
        <c:axId val="280614400"/>
        <c:scaling>
          <c:orientation val="minMax"/>
        </c:scaling>
        <c:delete val="0"/>
        <c:axPos val="b"/>
        <c:majorTickMark val="out"/>
        <c:minorTickMark val="none"/>
        <c:tickLblPos val="nextTo"/>
        <c:txPr>
          <a:bodyPr/>
          <a:lstStyle/>
          <a:p>
            <a:pPr>
              <a:defRPr>
                <a:latin typeface="+mj-lt"/>
              </a:defRPr>
            </a:pPr>
            <a:endParaRPr lang="en-US"/>
          </a:p>
        </c:txPr>
        <c:crossAx val="273087808"/>
        <c:crosses val="autoZero"/>
        <c:auto val="1"/>
        <c:lblAlgn val="ctr"/>
        <c:lblOffset val="100"/>
        <c:noMultiLvlLbl val="0"/>
      </c:catAx>
      <c:valAx>
        <c:axId val="273087808"/>
        <c:scaling>
          <c:orientation val="minMax"/>
        </c:scaling>
        <c:delete val="0"/>
        <c:axPos val="l"/>
        <c:majorGridlines/>
        <c:title>
          <c:tx>
            <c:rich>
              <a:bodyPr rot="-5400000" vert="horz"/>
              <a:lstStyle/>
              <a:p>
                <a:pPr>
                  <a:defRPr/>
                </a:pPr>
                <a:r>
                  <a:rPr lang="en-US">
                    <a:latin typeface="+mj-lt"/>
                  </a:rPr>
                  <a:t>per 100,000 people</a:t>
                </a:r>
              </a:p>
            </c:rich>
          </c:tx>
          <c:overlay val="0"/>
        </c:title>
        <c:numFmt formatCode="General" sourceLinked="1"/>
        <c:majorTickMark val="out"/>
        <c:minorTickMark val="none"/>
        <c:tickLblPos val="nextTo"/>
        <c:txPr>
          <a:bodyPr/>
          <a:lstStyle/>
          <a:p>
            <a:pPr>
              <a:defRPr>
                <a:latin typeface="+mj-lt"/>
              </a:defRPr>
            </a:pPr>
            <a:endParaRPr lang="en-US"/>
          </a:p>
        </c:txPr>
        <c:crossAx val="280614400"/>
        <c:crosses val="autoZero"/>
        <c:crossBetween val="between"/>
      </c:valAx>
    </c:plotArea>
    <c:legend>
      <c:legendPos val="r"/>
      <c:overlay val="0"/>
      <c:txPr>
        <a:bodyPr/>
        <a:lstStyle/>
        <a:p>
          <a:pPr>
            <a:defRPr sz="1050">
              <a:latin typeface="+mj-lt"/>
            </a:defRPr>
          </a:pPr>
          <a:endParaRPr lang="en-US"/>
        </a:p>
      </c:txPr>
    </c:legend>
    <c:plotVisOnly val="1"/>
    <c:dispBlanksAs val="gap"/>
    <c:showDLblsOverMax val="0"/>
  </c:chart>
  <c:spPr>
    <a:ln w="31750">
      <a:solidFill>
        <a:sysClr val="windowText" lastClr="00000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Linn County Population - 2010</a:t>
            </a:r>
          </a:p>
        </c:rich>
      </c:tx>
      <c:layout>
        <c:manualLayout>
          <c:xMode val="edge"/>
          <c:yMode val="edge"/>
          <c:x val="0.12726377952755899"/>
          <c:y val="1.7372415340253099E-2"/>
        </c:manualLayout>
      </c:layout>
      <c:overlay val="0"/>
    </c:title>
    <c:autoTitleDeleted val="0"/>
    <c:plotArea>
      <c:layout>
        <c:manualLayout>
          <c:layoutTarget val="inner"/>
          <c:xMode val="edge"/>
          <c:yMode val="edge"/>
          <c:x val="0.211657261592301"/>
          <c:y val="0.16560689220408101"/>
          <c:w val="0.73518307086614199"/>
          <c:h val="0.70690375019852503"/>
        </c:manualLayout>
      </c:layout>
      <c:barChart>
        <c:barDir val="bar"/>
        <c:grouping val="stacked"/>
        <c:varyColors val="0"/>
        <c:ser>
          <c:idx val="0"/>
          <c:order val="0"/>
          <c:invertIfNegative val="0"/>
          <c:cat>
            <c:strRef>
              <c:f>POPAGE!$A$1:$A$12</c:f>
              <c:strCache>
                <c:ptCount val="12"/>
                <c:pt idx="0">
                  <c:v>Under 5 years</c:v>
                </c:pt>
                <c:pt idx="1">
                  <c:v>5 to 9 years</c:v>
                </c:pt>
                <c:pt idx="2">
                  <c:v>10 to 14 years</c:v>
                </c:pt>
                <c:pt idx="3">
                  <c:v>15 to 19 years</c:v>
                </c:pt>
                <c:pt idx="4">
                  <c:v>20 to 24 years</c:v>
                </c:pt>
                <c:pt idx="5">
                  <c:v>25 to 34 years</c:v>
                </c:pt>
                <c:pt idx="6">
                  <c:v>35 to 44 years</c:v>
                </c:pt>
                <c:pt idx="7">
                  <c:v>45 to 54 years</c:v>
                </c:pt>
                <c:pt idx="8">
                  <c:v>55 to 64 years</c:v>
                </c:pt>
                <c:pt idx="9">
                  <c:v>65 to 74 years</c:v>
                </c:pt>
                <c:pt idx="10">
                  <c:v>75 to 84 years</c:v>
                </c:pt>
                <c:pt idx="11">
                  <c:v>85+ years</c:v>
                </c:pt>
              </c:strCache>
            </c:strRef>
          </c:cat>
          <c:val>
            <c:numRef>
              <c:f>POPAGE!$B$1:$B$13</c:f>
              <c:numCache>
                <c:formatCode>General</c:formatCode>
                <c:ptCount val="13"/>
                <c:pt idx="0">
                  <c:v>918</c:v>
                </c:pt>
                <c:pt idx="1">
                  <c:v>928</c:v>
                </c:pt>
                <c:pt idx="2">
                  <c:v>907</c:v>
                </c:pt>
                <c:pt idx="3">
                  <c:v>946</c:v>
                </c:pt>
                <c:pt idx="4">
                  <c:v>805</c:v>
                </c:pt>
                <c:pt idx="5">
                  <c:v>1275</c:v>
                </c:pt>
                <c:pt idx="6">
                  <c:v>1428</c:v>
                </c:pt>
                <c:pt idx="7">
                  <c:v>1928</c:v>
                </c:pt>
                <c:pt idx="8">
                  <c:v>1631</c:v>
                </c:pt>
                <c:pt idx="9">
                  <c:v>1186</c:v>
                </c:pt>
                <c:pt idx="10">
                  <c:v>816</c:v>
                </c:pt>
                <c:pt idx="11">
                  <c:v>421</c:v>
                </c:pt>
              </c:numCache>
            </c:numRef>
          </c:val>
        </c:ser>
        <c:dLbls>
          <c:showLegendKey val="0"/>
          <c:showVal val="0"/>
          <c:showCatName val="0"/>
          <c:showSerName val="0"/>
          <c:showPercent val="0"/>
          <c:showBubbleSize val="0"/>
        </c:dLbls>
        <c:gapWidth val="55"/>
        <c:overlap val="100"/>
        <c:axId val="273129472"/>
        <c:axId val="265154496"/>
      </c:barChart>
      <c:catAx>
        <c:axId val="273129472"/>
        <c:scaling>
          <c:orientation val="minMax"/>
        </c:scaling>
        <c:delete val="0"/>
        <c:axPos val="l"/>
        <c:majorTickMark val="none"/>
        <c:minorTickMark val="none"/>
        <c:tickLblPos val="nextTo"/>
        <c:txPr>
          <a:bodyPr/>
          <a:lstStyle/>
          <a:p>
            <a:pPr>
              <a:defRPr sz="1000">
                <a:latin typeface="+mj-lt"/>
              </a:defRPr>
            </a:pPr>
            <a:endParaRPr lang="en-US"/>
          </a:p>
        </c:txPr>
        <c:crossAx val="265154496"/>
        <c:crosses val="autoZero"/>
        <c:auto val="1"/>
        <c:lblAlgn val="ctr"/>
        <c:lblOffset val="100"/>
        <c:noMultiLvlLbl val="0"/>
      </c:catAx>
      <c:valAx>
        <c:axId val="265154496"/>
        <c:scaling>
          <c:orientation val="minMax"/>
        </c:scaling>
        <c:delete val="0"/>
        <c:axPos val="b"/>
        <c:majorGridlines/>
        <c:numFmt formatCode="General" sourceLinked="1"/>
        <c:majorTickMark val="none"/>
        <c:minorTickMark val="none"/>
        <c:tickLblPos val="nextTo"/>
        <c:crossAx val="273129472"/>
        <c:crosses val="autoZero"/>
        <c:crossBetween val="between"/>
      </c:valAx>
    </c:plotArea>
    <c:plotVisOnly val="1"/>
    <c:dispBlanksAs val="gap"/>
    <c:showDLblsOverMax val="0"/>
  </c:chart>
  <c:spPr>
    <a:ln w="31750">
      <a:solidFill>
        <a:schemeClr val="tx1"/>
      </a:solid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en-US" sz="3200">
              <a:latin typeface="+mj-lt"/>
              <a:cs typeface="Cambria "/>
            </a:endParaRPr>
          </a:p>
        </c:rich>
      </c:tx>
      <c:overlay val="0"/>
    </c:title>
    <c:autoTitleDeleted val="0"/>
    <c:plotArea>
      <c:layout/>
      <c:barChart>
        <c:barDir val="col"/>
        <c:grouping val="clustered"/>
        <c:varyColors val="0"/>
        <c:ser>
          <c:idx val="0"/>
          <c:order val="0"/>
          <c:tx>
            <c:strRef>
              <c:f>'Employement Status'!$B$1</c:f>
              <c:strCache>
                <c:ptCount val="1"/>
                <c:pt idx="0">
                  <c:v>Employed </c:v>
                </c:pt>
              </c:strCache>
            </c:strRef>
          </c:tx>
          <c:spPr>
            <a:solidFill>
              <a:schemeClr val="accent1">
                <a:lumMod val="75000"/>
              </a:schemeClr>
            </a:solidFill>
          </c:spPr>
          <c:invertIfNegative val="0"/>
          <c:dLbls>
            <c:dLbl>
              <c:idx val="0"/>
              <c:layout>
                <c:manualLayout>
                  <c:x val="1.64439858927002E-2"/>
                  <c:y val="1.66666644794404E-3"/>
                </c:manualLayout>
              </c:layout>
              <c:showLegendKey val="0"/>
              <c:showVal val="1"/>
              <c:showCatName val="0"/>
              <c:showSerName val="0"/>
              <c:showPercent val="0"/>
              <c:showBubbleSize val="0"/>
            </c:dLbl>
            <c:txPr>
              <a:bodyPr/>
              <a:lstStyle/>
              <a:p>
                <a:pPr>
                  <a:defRPr sz="1100">
                    <a:latin typeface="+mj-lt"/>
                  </a:defRPr>
                </a:pPr>
                <a:endParaRPr lang="en-US"/>
              </a:p>
            </c:txPr>
            <c:showLegendKey val="0"/>
            <c:showVal val="1"/>
            <c:showCatName val="0"/>
            <c:showSerName val="0"/>
            <c:showPercent val="0"/>
            <c:showBubbleSize val="0"/>
            <c:showLeaderLines val="0"/>
          </c:dLbls>
          <c:cat>
            <c:strRef>
              <c:f>'Employement Status'!$A$3:$A$5</c:f>
              <c:strCache>
                <c:ptCount val="3"/>
                <c:pt idx="0">
                  <c:v>Linn</c:v>
                </c:pt>
                <c:pt idx="1">
                  <c:v>Missouri </c:v>
                </c:pt>
                <c:pt idx="2">
                  <c:v>United States</c:v>
                </c:pt>
              </c:strCache>
            </c:strRef>
          </c:cat>
          <c:val>
            <c:numRef>
              <c:f>'Employement Status'!$B$3:$B$5</c:f>
              <c:numCache>
                <c:formatCode>0.00%</c:formatCode>
                <c:ptCount val="3"/>
                <c:pt idx="0">
                  <c:v>0.53600000000000003</c:v>
                </c:pt>
                <c:pt idx="1">
                  <c:v>0.59899999999999998</c:v>
                </c:pt>
                <c:pt idx="2">
                  <c:v>0.59399999999999997</c:v>
                </c:pt>
              </c:numCache>
            </c:numRef>
          </c:val>
        </c:ser>
        <c:ser>
          <c:idx val="1"/>
          <c:order val="1"/>
          <c:tx>
            <c:strRef>
              <c:f>'Employement Status'!$C$1</c:f>
              <c:strCache>
                <c:ptCount val="1"/>
                <c:pt idx="0">
                  <c:v>Unemployed</c:v>
                </c:pt>
              </c:strCache>
            </c:strRef>
          </c:tx>
          <c:spPr>
            <a:solidFill>
              <a:schemeClr val="accent1">
                <a:lumMod val="60000"/>
                <a:lumOff val="40000"/>
              </a:schemeClr>
            </a:solidFill>
          </c:spPr>
          <c:invertIfNegative val="0"/>
          <c:dLbls>
            <c:dLbl>
              <c:idx val="0"/>
              <c:layout>
                <c:manualLayout>
                  <c:x val="1.1111127895581999E-2"/>
                  <c:y val="-1.40741451346266E-2"/>
                </c:manualLayout>
              </c:layout>
              <c:showLegendKey val="0"/>
              <c:showVal val="1"/>
              <c:showCatName val="0"/>
              <c:showSerName val="0"/>
              <c:showPercent val="0"/>
              <c:showBubbleSize val="0"/>
            </c:dLbl>
            <c:dLbl>
              <c:idx val="1"/>
              <c:layout>
                <c:manualLayout>
                  <c:x val="4.3337024238478397E-3"/>
                  <c:y val="0"/>
                </c:manualLayout>
              </c:layout>
              <c:showLegendKey val="0"/>
              <c:showVal val="1"/>
              <c:showCatName val="0"/>
              <c:showSerName val="0"/>
              <c:showPercent val="0"/>
              <c:showBubbleSize val="0"/>
            </c:dLbl>
            <c:dLbl>
              <c:idx val="2"/>
              <c:layout>
                <c:manualLayout>
                  <c:x val="1.1111127895581999E-2"/>
                  <c:y val="0"/>
                </c:manualLayout>
              </c:layout>
              <c:showLegendKey val="0"/>
              <c:showVal val="1"/>
              <c:showCatName val="0"/>
              <c:showSerName val="0"/>
              <c:showPercent val="0"/>
              <c:showBubbleSize val="0"/>
            </c:dLbl>
            <c:txPr>
              <a:bodyPr/>
              <a:lstStyle/>
              <a:p>
                <a:pPr>
                  <a:defRPr sz="1200">
                    <a:latin typeface="+mj-lt"/>
                  </a:defRPr>
                </a:pPr>
                <a:endParaRPr lang="en-US"/>
              </a:p>
            </c:txPr>
            <c:showLegendKey val="0"/>
            <c:showVal val="1"/>
            <c:showCatName val="0"/>
            <c:showSerName val="0"/>
            <c:showPercent val="0"/>
            <c:showBubbleSize val="0"/>
            <c:showLeaderLines val="0"/>
          </c:dLbls>
          <c:cat>
            <c:strRef>
              <c:f>'Employement Status'!$A$3:$A$5</c:f>
              <c:strCache>
                <c:ptCount val="3"/>
                <c:pt idx="0">
                  <c:v>Linn</c:v>
                </c:pt>
                <c:pt idx="1">
                  <c:v>Missouri </c:v>
                </c:pt>
                <c:pt idx="2">
                  <c:v>United States</c:v>
                </c:pt>
              </c:strCache>
            </c:strRef>
          </c:cat>
          <c:val>
            <c:numRef>
              <c:f>'Employement Status'!$C$3:$C$5</c:f>
              <c:numCache>
                <c:formatCode>0.00%</c:formatCode>
                <c:ptCount val="3"/>
                <c:pt idx="0" formatCode="0%">
                  <c:v>0.04</c:v>
                </c:pt>
                <c:pt idx="1">
                  <c:v>4.8000000000000001E-2</c:v>
                </c:pt>
                <c:pt idx="2">
                  <c:v>8.1000000000000003E-2</c:v>
                </c:pt>
              </c:numCache>
            </c:numRef>
          </c:val>
        </c:ser>
        <c:ser>
          <c:idx val="2"/>
          <c:order val="2"/>
          <c:tx>
            <c:strRef>
              <c:f>'Employement Status'!$D$1</c:f>
              <c:strCache>
                <c:ptCount val="1"/>
                <c:pt idx="0">
                  <c:v>Armed Forces </c:v>
                </c:pt>
              </c:strCache>
            </c:strRef>
          </c:tx>
          <c:spPr>
            <a:solidFill>
              <a:schemeClr val="tx2">
                <a:lumMod val="50000"/>
              </a:schemeClr>
            </a:solidFill>
          </c:spPr>
          <c:invertIfNegative val="0"/>
          <c:dLbls>
            <c:dLbl>
              <c:idx val="1"/>
              <c:layout>
                <c:manualLayout>
                  <c:x val="5.5555555555555497E-3"/>
                  <c:y val="0"/>
                </c:manualLayout>
              </c:layout>
              <c:showLegendKey val="0"/>
              <c:showVal val="1"/>
              <c:showCatName val="0"/>
              <c:showSerName val="0"/>
              <c:showPercent val="0"/>
              <c:showBubbleSize val="0"/>
            </c:dLbl>
            <c:txPr>
              <a:bodyPr/>
              <a:lstStyle/>
              <a:p>
                <a:pPr>
                  <a:defRPr sz="1200">
                    <a:latin typeface="+mj-lt"/>
                  </a:defRPr>
                </a:pPr>
                <a:endParaRPr lang="en-US"/>
              </a:p>
            </c:txPr>
            <c:showLegendKey val="0"/>
            <c:showVal val="1"/>
            <c:showCatName val="0"/>
            <c:showSerName val="0"/>
            <c:showPercent val="0"/>
            <c:showBubbleSize val="0"/>
            <c:showLeaderLines val="0"/>
          </c:dLbls>
          <c:cat>
            <c:strRef>
              <c:f>'Employement Status'!$A$3:$A$5</c:f>
              <c:strCache>
                <c:ptCount val="3"/>
                <c:pt idx="0">
                  <c:v>Linn</c:v>
                </c:pt>
                <c:pt idx="1">
                  <c:v>Missouri </c:v>
                </c:pt>
                <c:pt idx="2">
                  <c:v>United States</c:v>
                </c:pt>
              </c:strCache>
            </c:strRef>
          </c:cat>
          <c:val>
            <c:numRef>
              <c:f>'Employement Status'!$D$3:$D$5</c:f>
              <c:numCache>
                <c:formatCode>0.00%</c:formatCode>
                <c:ptCount val="3"/>
                <c:pt idx="0">
                  <c:v>0</c:v>
                </c:pt>
                <c:pt idx="1">
                  <c:v>5.0000000000000001E-3</c:v>
                </c:pt>
                <c:pt idx="2">
                  <c:v>5.0000000000000001E-3</c:v>
                </c:pt>
              </c:numCache>
            </c:numRef>
          </c:val>
        </c:ser>
        <c:ser>
          <c:idx val="3"/>
          <c:order val="3"/>
          <c:tx>
            <c:strRef>
              <c:f>'Employement Status'!$E$1</c:f>
              <c:strCache>
                <c:ptCount val="1"/>
                <c:pt idx="0">
                  <c:v>Not in Labor Force</c:v>
                </c:pt>
              </c:strCache>
            </c:strRef>
          </c:tx>
          <c:spPr>
            <a:solidFill>
              <a:schemeClr val="tx2">
                <a:lumMod val="60000"/>
                <a:lumOff val="40000"/>
              </a:schemeClr>
            </a:solidFill>
          </c:spPr>
          <c:invertIfNegative val="0"/>
          <c:dLbls>
            <c:showLegendKey val="0"/>
            <c:showVal val="1"/>
            <c:showCatName val="0"/>
            <c:showSerName val="0"/>
            <c:showPercent val="0"/>
            <c:showBubbleSize val="0"/>
            <c:showLeaderLines val="0"/>
          </c:dLbls>
          <c:cat>
            <c:strRef>
              <c:f>'Employement Status'!$A$3:$A$5</c:f>
              <c:strCache>
                <c:ptCount val="3"/>
                <c:pt idx="0">
                  <c:v>Linn</c:v>
                </c:pt>
                <c:pt idx="1">
                  <c:v>Missouri </c:v>
                </c:pt>
                <c:pt idx="2">
                  <c:v>United States</c:v>
                </c:pt>
              </c:strCache>
            </c:strRef>
          </c:cat>
          <c:val>
            <c:numRef>
              <c:f>'Employement Status'!$E$3:$E$5</c:f>
              <c:numCache>
                <c:formatCode>0.00%</c:formatCode>
                <c:ptCount val="3"/>
                <c:pt idx="0">
                  <c:v>0.42399999999999999</c:v>
                </c:pt>
                <c:pt idx="1">
                  <c:v>0.34799999999999998</c:v>
                </c:pt>
                <c:pt idx="2" formatCode="0%">
                  <c:v>0.35</c:v>
                </c:pt>
              </c:numCache>
            </c:numRef>
          </c:val>
        </c:ser>
        <c:dLbls>
          <c:showLegendKey val="0"/>
          <c:showVal val="0"/>
          <c:showCatName val="0"/>
          <c:showSerName val="0"/>
          <c:showPercent val="0"/>
          <c:showBubbleSize val="0"/>
        </c:dLbls>
        <c:gapWidth val="49"/>
        <c:overlap val="-26"/>
        <c:axId val="280616448"/>
        <c:axId val="276606912"/>
      </c:barChart>
      <c:catAx>
        <c:axId val="280616448"/>
        <c:scaling>
          <c:orientation val="minMax"/>
        </c:scaling>
        <c:delete val="0"/>
        <c:axPos val="b"/>
        <c:numFmt formatCode="General" sourceLinked="1"/>
        <c:majorTickMark val="out"/>
        <c:minorTickMark val="none"/>
        <c:tickLblPos val="nextTo"/>
        <c:txPr>
          <a:bodyPr/>
          <a:lstStyle/>
          <a:p>
            <a:pPr>
              <a:defRPr sz="1200">
                <a:latin typeface="+mj-lt"/>
              </a:defRPr>
            </a:pPr>
            <a:endParaRPr lang="en-US"/>
          </a:p>
        </c:txPr>
        <c:crossAx val="276606912"/>
        <c:crosses val="autoZero"/>
        <c:auto val="1"/>
        <c:lblAlgn val="ctr"/>
        <c:lblOffset val="100"/>
        <c:tickLblSkip val="1"/>
        <c:noMultiLvlLbl val="0"/>
      </c:catAx>
      <c:valAx>
        <c:axId val="276606912"/>
        <c:scaling>
          <c:orientation val="minMax"/>
          <c:max val="0.7"/>
        </c:scaling>
        <c:delete val="0"/>
        <c:axPos val="l"/>
        <c:numFmt formatCode="0.00%" sourceLinked="1"/>
        <c:majorTickMark val="out"/>
        <c:minorTickMark val="none"/>
        <c:tickLblPos val="nextTo"/>
        <c:txPr>
          <a:bodyPr/>
          <a:lstStyle/>
          <a:p>
            <a:pPr>
              <a:defRPr sz="1100"/>
            </a:pPr>
            <a:endParaRPr lang="en-US"/>
          </a:p>
        </c:txPr>
        <c:crossAx val="280616448"/>
        <c:crosses val="autoZero"/>
        <c:crossBetween val="between"/>
      </c:valAx>
    </c:plotArea>
    <c:legend>
      <c:legendPos val="r"/>
      <c:overlay val="0"/>
      <c:txPr>
        <a:bodyPr/>
        <a:lstStyle/>
        <a:p>
          <a:pPr>
            <a:defRPr sz="1200">
              <a:latin typeface="+mj-lt"/>
            </a:defRPr>
          </a:pPr>
          <a:endParaRPr lang="en-US"/>
        </a:p>
      </c:txPr>
    </c:legend>
    <c:plotVisOnly val="1"/>
    <c:dispBlanksAs val="gap"/>
    <c:showDLblsOverMax val="0"/>
  </c:chart>
  <c:spPr>
    <a:ln w="31750">
      <a:solidFill>
        <a:schemeClr val="tx1"/>
      </a:solid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3200">
                <a:latin typeface="+mj-lt"/>
              </a:rPr>
              <a:t>Class</a:t>
            </a:r>
            <a:r>
              <a:rPr lang="en-US" sz="3200" baseline="0">
                <a:latin typeface="+mj-lt"/>
              </a:rPr>
              <a:t> of Worker</a:t>
            </a:r>
            <a:endParaRPr lang="en-US" sz="3200">
              <a:latin typeface="+mj-lt"/>
            </a:endParaRPr>
          </a:p>
        </c:rich>
      </c:tx>
      <c:overlay val="0"/>
    </c:title>
    <c:autoTitleDeleted val="0"/>
    <c:plotArea>
      <c:layout/>
      <c:barChart>
        <c:barDir val="col"/>
        <c:grouping val="clustered"/>
        <c:varyColors val="0"/>
        <c:ser>
          <c:idx val="0"/>
          <c:order val="0"/>
          <c:tx>
            <c:strRef>
              <c:f>'[ExcelTemplate.xlsx]Class of Worker'!$B$1</c:f>
              <c:strCache>
                <c:ptCount val="1"/>
                <c:pt idx="0">
                  <c:v>Private Wage</c:v>
                </c:pt>
              </c:strCache>
            </c:strRef>
          </c:tx>
          <c:spPr>
            <a:solidFill>
              <a:schemeClr val="accent1">
                <a:lumMod val="75000"/>
              </a:schemeClr>
            </a:solidFill>
          </c:spPr>
          <c:invertIfNegative val="0"/>
          <c:dLbls>
            <c:dLbl>
              <c:idx val="0"/>
              <c:layout>
                <c:manualLayout>
                  <c:x val="1.64439858927002E-2"/>
                  <c:y val="1.66666644794404E-3"/>
                </c:manualLayout>
              </c:layout>
              <c:showLegendKey val="0"/>
              <c:showVal val="1"/>
              <c:showCatName val="0"/>
              <c:showSerName val="0"/>
              <c:showPercent val="0"/>
              <c:showBubbleSize val="0"/>
            </c:dLbl>
            <c:txPr>
              <a:bodyPr/>
              <a:lstStyle/>
              <a:p>
                <a:pPr>
                  <a:defRPr sz="1100">
                    <a:latin typeface="+mj-lt"/>
                  </a:defRPr>
                </a:pPr>
                <a:endParaRPr lang="en-US"/>
              </a:p>
            </c:txPr>
            <c:showLegendKey val="0"/>
            <c:showVal val="1"/>
            <c:showCatName val="0"/>
            <c:showSerName val="0"/>
            <c:showPercent val="0"/>
            <c:showBubbleSize val="0"/>
            <c:showLeaderLines val="0"/>
          </c:dLbls>
          <c:cat>
            <c:strRef>
              <c:f>'[ExcelTemplate.xlsx]Class of Worker'!$A$2,'[ExcelTemplate.xlsx]Class of Worker'!$A$4:$A$5</c:f>
              <c:strCache>
                <c:ptCount val="3"/>
                <c:pt idx="0">
                  <c:v>Linn</c:v>
                </c:pt>
                <c:pt idx="1">
                  <c:v>Missouri </c:v>
                </c:pt>
                <c:pt idx="2">
                  <c:v>United States</c:v>
                </c:pt>
              </c:strCache>
            </c:strRef>
          </c:cat>
          <c:val>
            <c:numRef>
              <c:f>'[ExcelTemplate.xlsx]Class of Worker'!$B$2,'[ExcelTemplate.xlsx]Class of Worker'!$B$4:$B$5</c:f>
              <c:numCache>
                <c:formatCode>0.00%</c:formatCode>
                <c:ptCount val="3"/>
                <c:pt idx="0">
                  <c:v>0.75900000000000001</c:v>
                </c:pt>
                <c:pt idx="1">
                  <c:v>0.80100000000000005</c:v>
                </c:pt>
                <c:pt idx="2">
                  <c:v>0.78500000000000003</c:v>
                </c:pt>
              </c:numCache>
            </c:numRef>
          </c:val>
        </c:ser>
        <c:ser>
          <c:idx val="1"/>
          <c:order val="1"/>
          <c:tx>
            <c:strRef>
              <c:f>'[ExcelTemplate.xlsx]Class of Worker'!$C$1</c:f>
              <c:strCache>
                <c:ptCount val="1"/>
                <c:pt idx="0">
                  <c:v>Government</c:v>
                </c:pt>
              </c:strCache>
            </c:strRef>
          </c:tx>
          <c:spPr>
            <a:solidFill>
              <a:schemeClr val="accent1">
                <a:lumMod val="60000"/>
                <a:lumOff val="40000"/>
              </a:schemeClr>
            </a:solidFill>
          </c:spPr>
          <c:invertIfNegative val="0"/>
          <c:dLbls>
            <c:dLbl>
              <c:idx val="0"/>
              <c:layout>
                <c:manualLayout>
                  <c:x val="1.1111127895581999E-2"/>
                  <c:y val="-1.40741451346266E-2"/>
                </c:manualLayout>
              </c:layout>
              <c:showLegendKey val="0"/>
              <c:showVal val="1"/>
              <c:showCatName val="0"/>
              <c:showSerName val="0"/>
              <c:showPercent val="0"/>
              <c:showBubbleSize val="0"/>
            </c:dLbl>
            <c:dLbl>
              <c:idx val="1"/>
              <c:layout>
                <c:manualLayout>
                  <c:x val="1.2176727909011399E-2"/>
                  <c:y val="0"/>
                </c:manualLayout>
              </c:layout>
              <c:showLegendKey val="0"/>
              <c:showVal val="1"/>
              <c:showCatName val="0"/>
              <c:showSerName val="0"/>
              <c:showPercent val="0"/>
              <c:showBubbleSize val="0"/>
            </c:dLbl>
            <c:dLbl>
              <c:idx val="2"/>
              <c:layout>
                <c:manualLayout>
                  <c:x val="1.1111127895581999E-2"/>
                  <c:y val="0"/>
                </c:manualLayout>
              </c:layout>
              <c:showLegendKey val="0"/>
              <c:showVal val="1"/>
              <c:showCatName val="0"/>
              <c:showSerName val="0"/>
              <c:showPercent val="0"/>
              <c:showBubbleSize val="0"/>
            </c:dLbl>
            <c:txPr>
              <a:bodyPr/>
              <a:lstStyle/>
              <a:p>
                <a:pPr>
                  <a:defRPr sz="1200">
                    <a:latin typeface="+mj-lt"/>
                  </a:defRPr>
                </a:pPr>
                <a:endParaRPr lang="en-US"/>
              </a:p>
            </c:txPr>
            <c:showLegendKey val="0"/>
            <c:showVal val="1"/>
            <c:showCatName val="0"/>
            <c:showSerName val="0"/>
            <c:showPercent val="0"/>
            <c:showBubbleSize val="0"/>
            <c:showLeaderLines val="0"/>
          </c:dLbls>
          <c:cat>
            <c:strRef>
              <c:f>'[ExcelTemplate.xlsx]Class of Worker'!$A$2,'[ExcelTemplate.xlsx]Class of Worker'!$A$4:$A$5</c:f>
              <c:strCache>
                <c:ptCount val="3"/>
                <c:pt idx="0">
                  <c:v>Linn</c:v>
                </c:pt>
                <c:pt idx="1">
                  <c:v>Missouri </c:v>
                </c:pt>
                <c:pt idx="2">
                  <c:v>United States</c:v>
                </c:pt>
              </c:strCache>
            </c:strRef>
          </c:cat>
          <c:val>
            <c:numRef>
              <c:f>'[ExcelTemplate.xlsx]Class of Worker'!$C$2,'[ExcelTemplate.xlsx]Class of Worker'!$C$4:$C$5</c:f>
              <c:numCache>
                <c:formatCode>0.00%</c:formatCode>
                <c:ptCount val="3"/>
                <c:pt idx="0">
                  <c:v>0.13500000000000001</c:v>
                </c:pt>
                <c:pt idx="1">
                  <c:v>0.13300000000000001</c:v>
                </c:pt>
                <c:pt idx="2">
                  <c:v>0.14799999999999999</c:v>
                </c:pt>
              </c:numCache>
            </c:numRef>
          </c:val>
        </c:ser>
        <c:ser>
          <c:idx val="2"/>
          <c:order val="2"/>
          <c:tx>
            <c:strRef>
              <c:f>'[ExcelTemplate.xlsx]Class of Worker'!$D$1</c:f>
              <c:strCache>
                <c:ptCount val="1"/>
                <c:pt idx="0">
                  <c:v>Self-Employed</c:v>
                </c:pt>
              </c:strCache>
            </c:strRef>
          </c:tx>
          <c:spPr>
            <a:solidFill>
              <a:schemeClr val="tx2">
                <a:lumMod val="50000"/>
              </a:schemeClr>
            </a:solidFill>
          </c:spPr>
          <c:invertIfNegative val="0"/>
          <c:dLbls>
            <c:dLbl>
              <c:idx val="0"/>
              <c:layout>
                <c:manualLayout>
                  <c:x val="1.0457516339869299E-2"/>
                  <c:y val="-2.1030494216614098E-3"/>
                </c:manualLayout>
              </c:layout>
              <c:showLegendKey val="0"/>
              <c:showVal val="1"/>
              <c:showCatName val="0"/>
              <c:showSerName val="0"/>
              <c:showPercent val="0"/>
              <c:showBubbleSize val="0"/>
            </c:dLbl>
            <c:dLbl>
              <c:idx val="1"/>
              <c:layout>
                <c:manualLayout>
                  <c:x val="5.5555555555555497E-3"/>
                  <c:y val="0"/>
                </c:manualLayout>
              </c:layout>
              <c:showLegendKey val="0"/>
              <c:showVal val="1"/>
              <c:showCatName val="0"/>
              <c:showSerName val="0"/>
              <c:showPercent val="0"/>
              <c:showBubbleSize val="0"/>
            </c:dLbl>
            <c:txPr>
              <a:bodyPr/>
              <a:lstStyle/>
              <a:p>
                <a:pPr>
                  <a:defRPr sz="1200">
                    <a:latin typeface="+mj-lt"/>
                  </a:defRPr>
                </a:pPr>
                <a:endParaRPr lang="en-US"/>
              </a:p>
            </c:txPr>
            <c:showLegendKey val="0"/>
            <c:showVal val="1"/>
            <c:showCatName val="0"/>
            <c:showSerName val="0"/>
            <c:showPercent val="0"/>
            <c:showBubbleSize val="0"/>
            <c:showLeaderLines val="0"/>
          </c:dLbls>
          <c:cat>
            <c:strRef>
              <c:f>'[ExcelTemplate.xlsx]Class of Worker'!$A$2,'[ExcelTemplate.xlsx]Class of Worker'!$A$4:$A$5</c:f>
              <c:strCache>
                <c:ptCount val="3"/>
                <c:pt idx="0">
                  <c:v>Linn</c:v>
                </c:pt>
                <c:pt idx="1">
                  <c:v>Missouri </c:v>
                </c:pt>
                <c:pt idx="2">
                  <c:v>United States</c:v>
                </c:pt>
              </c:strCache>
            </c:strRef>
          </c:cat>
          <c:val>
            <c:numRef>
              <c:f>'[ExcelTemplate.xlsx]Class of Worker'!$D$2,'[ExcelTemplate.xlsx]Class of Worker'!$D$4:$D$5</c:f>
              <c:numCache>
                <c:formatCode>0.00%</c:formatCode>
                <c:ptCount val="3"/>
                <c:pt idx="0">
                  <c:v>0.104</c:v>
                </c:pt>
                <c:pt idx="1">
                  <c:v>6.4000000000000001E-2</c:v>
                </c:pt>
                <c:pt idx="2">
                  <c:v>6.5000000000000002E-2</c:v>
                </c:pt>
              </c:numCache>
            </c:numRef>
          </c:val>
        </c:ser>
        <c:ser>
          <c:idx val="3"/>
          <c:order val="3"/>
          <c:tx>
            <c:strRef>
              <c:f>'[ExcelTemplate.xlsx]Class of Worker'!$E$1</c:f>
              <c:strCache>
                <c:ptCount val="1"/>
                <c:pt idx="0">
                  <c:v>Unpaid Family</c:v>
                </c:pt>
              </c:strCache>
            </c:strRef>
          </c:tx>
          <c:spPr>
            <a:solidFill>
              <a:schemeClr val="tx2">
                <a:lumMod val="60000"/>
                <a:lumOff val="40000"/>
              </a:schemeClr>
            </a:solidFill>
          </c:spPr>
          <c:invertIfNegative val="0"/>
          <c:dLbls>
            <c:dLbl>
              <c:idx val="0"/>
              <c:layout>
                <c:manualLayout>
                  <c:x val="9.1503267973856196E-3"/>
                  <c:y val="0"/>
                </c:manualLayout>
              </c:layout>
              <c:showLegendKey val="0"/>
              <c:showVal val="1"/>
              <c:showCatName val="0"/>
              <c:showSerName val="0"/>
              <c:showPercent val="0"/>
              <c:showBubbleSize val="0"/>
            </c:dLbl>
            <c:dLbl>
              <c:idx val="1"/>
              <c:layout>
                <c:manualLayout>
                  <c:x val="9.1503267973856196E-3"/>
                  <c:y val="0"/>
                </c:manualLayout>
              </c:layout>
              <c:showLegendKey val="0"/>
              <c:showVal val="1"/>
              <c:showCatName val="0"/>
              <c:showSerName val="0"/>
              <c:showPercent val="0"/>
              <c:showBubbleSize val="0"/>
            </c:dLbl>
            <c:dLbl>
              <c:idx val="2"/>
              <c:layout>
                <c:manualLayout>
                  <c:x val="9.1503267973856196E-3"/>
                  <c:y val="-2.1030494216614098E-3"/>
                </c:manualLayout>
              </c:layout>
              <c:showLegendKey val="0"/>
              <c:showVal val="1"/>
              <c:showCatName val="0"/>
              <c:showSerName val="0"/>
              <c:showPercent val="0"/>
              <c:showBubbleSize val="0"/>
            </c:dLbl>
            <c:txPr>
              <a:bodyPr/>
              <a:lstStyle/>
              <a:p>
                <a:pPr>
                  <a:defRPr sz="1200">
                    <a:latin typeface="+mj-lt"/>
                  </a:defRPr>
                </a:pPr>
                <a:endParaRPr lang="en-US"/>
              </a:p>
            </c:txPr>
            <c:showLegendKey val="0"/>
            <c:showVal val="1"/>
            <c:showCatName val="0"/>
            <c:showSerName val="0"/>
            <c:showPercent val="0"/>
            <c:showBubbleSize val="0"/>
            <c:showLeaderLines val="0"/>
          </c:dLbls>
          <c:cat>
            <c:strRef>
              <c:f>'[ExcelTemplate.xlsx]Class of Worker'!$A$2,'[ExcelTemplate.xlsx]Class of Worker'!$A$4:$A$5</c:f>
              <c:strCache>
                <c:ptCount val="3"/>
                <c:pt idx="0">
                  <c:v>Linn</c:v>
                </c:pt>
                <c:pt idx="1">
                  <c:v>Missouri </c:v>
                </c:pt>
                <c:pt idx="2">
                  <c:v>United States</c:v>
                </c:pt>
              </c:strCache>
            </c:strRef>
          </c:cat>
          <c:val>
            <c:numRef>
              <c:f>'[ExcelTemplate.xlsx]Class of Worker'!$E$2,'[ExcelTemplate.xlsx]Class of Worker'!$E$4:$E$5</c:f>
              <c:numCache>
                <c:formatCode>0.00%</c:formatCode>
                <c:ptCount val="3"/>
                <c:pt idx="0">
                  <c:v>2E-3</c:v>
                </c:pt>
                <c:pt idx="1">
                  <c:v>2E-3</c:v>
                </c:pt>
                <c:pt idx="2">
                  <c:v>2E-3</c:v>
                </c:pt>
              </c:numCache>
            </c:numRef>
          </c:val>
        </c:ser>
        <c:dLbls>
          <c:showLegendKey val="0"/>
          <c:showVal val="0"/>
          <c:showCatName val="0"/>
          <c:showSerName val="0"/>
          <c:showPercent val="0"/>
          <c:showBubbleSize val="0"/>
        </c:dLbls>
        <c:gapWidth val="49"/>
        <c:overlap val="-26"/>
        <c:axId val="283027456"/>
        <c:axId val="276608640"/>
      </c:barChart>
      <c:catAx>
        <c:axId val="283027456"/>
        <c:scaling>
          <c:orientation val="minMax"/>
        </c:scaling>
        <c:delete val="0"/>
        <c:axPos val="b"/>
        <c:numFmt formatCode="General" sourceLinked="1"/>
        <c:majorTickMark val="out"/>
        <c:minorTickMark val="none"/>
        <c:tickLblPos val="nextTo"/>
        <c:txPr>
          <a:bodyPr/>
          <a:lstStyle/>
          <a:p>
            <a:pPr>
              <a:defRPr sz="1400">
                <a:latin typeface="+mj-lt"/>
              </a:defRPr>
            </a:pPr>
            <a:endParaRPr lang="en-US"/>
          </a:p>
        </c:txPr>
        <c:crossAx val="276608640"/>
        <c:crosses val="autoZero"/>
        <c:auto val="1"/>
        <c:lblAlgn val="ctr"/>
        <c:lblOffset val="100"/>
        <c:tickLblSkip val="1"/>
        <c:noMultiLvlLbl val="0"/>
      </c:catAx>
      <c:valAx>
        <c:axId val="276608640"/>
        <c:scaling>
          <c:orientation val="minMax"/>
          <c:max val="0.82"/>
        </c:scaling>
        <c:delete val="0"/>
        <c:axPos val="l"/>
        <c:numFmt formatCode="0.00%" sourceLinked="1"/>
        <c:majorTickMark val="out"/>
        <c:minorTickMark val="none"/>
        <c:tickLblPos val="nextTo"/>
        <c:txPr>
          <a:bodyPr/>
          <a:lstStyle/>
          <a:p>
            <a:pPr>
              <a:defRPr sz="1100">
                <a:latin typeface="+mj-lt"/>
              </a:defRPr>
            </a:pPr>
            <a:endParaRPr lang="en-US"/>
          </a:p>
        </c:txPr>
        <c:crossAx val="283027456"/>
        <c:crosses val="autoZero"/>
        <c:crossBetween val="between"/>
      </c:valAx>
    </c:plotArea>
    <c:legend>
      <c:legendPos val="r"/>
      <c:overlay val="0"/>
      <c:txPr>
        <a:bodyPr/>
        <a:lstStyle/>
        <a:p>
          <a:pPr>
            <a:defRPr sz="1400">
              <a:latin typeface="+mj-lt"/>
            </a:defRPr>
          </a:pPr>
          <a:endParaRPr lang="en-US"/>
        </a:p>
      </c:txPr>
    </c:legend>
    <c:plotVisOnly val="1"/>
    <c:dispBlanksAs val="gap"/>
    <c:showDLblsOverMax val="0"/>
  </c:chart>
  <c:spPr>
    <a:ln w="31750">
      <a:solidFill>
        <a:schemeClr val="tx1"/>
      </a:solid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Inadequate</a:t>
            </a:r>
            <a:r>
              <a:rPr lang="en-US" baseline="0">
                <a:latin typeface="+mj-lt"/>
              </a:rPr>
              <a:t> Social Support</a:t>
            </a:r>
            <a:endParaRPr lang="en-US">
              <a:latin typeface="+mj-lt"/>
            </a:endParaRPr>
          </a:p>
        </c:rich>
      </c:tx>
      <c:overlay val="0"/>
    </c:title>
    <c:autoTitleDeleted val="0"/>
    <c:plotArea>
      <c:layout/>
      <c:barChart>
        <c:barDir val="col"/>
        <c:grouping val="clustered"/>
        <c:varyColors val="0"/>
        <c:ser>
          <c:idx val="0"/>
          <c:order val="0"/>
          <c:tx>
            <c:strRef>
              <c:f>'[ExcelTemplate.xlsx]Social Support'!$A$2</c:f>
              <c:strCache>
                <c:ptCount val="1"/>
                <c:pt idx="0">
                  <c:v>Linn</c:v>
                </c:pt>
              </c:strCache>
            </c:strRef>
          </c:tx>
          <c:invertIfNegative val="0"/>
          <c:dLbls>
            <c:showLegendKey val="0"/>
            <c:showVal val="1"/>
            <c:showCatName val="0"/>
            <c:showSerName val="0"/>
            <c:showPercent val="0"/>
            <c:showBubbleSize val="0"/>
            <c:showLeaderLines val="0"/>
          </c:dLbls>
          <c:cat>
            <c:numRef>
              <c:f>'[ExcelTemplate.xlsx]Social Support'!$B$1:$C$1</c:f>
              <c:numCache>
                <c:formatCode>General</c:formatCode>
                <c:ptCount val="2"/>
                <c:pt idx="0">
                  <c:v>2011</c:v>
                </c:pt>
                <c:pt idx="1">
                  <c:v>2012</c:v>
                </c:pt>
              </c:numCache>
            </c:numRef>
          </c:cat>
          <c:val>
            <c:numRef>
              <c:f>'[ExcelTemplate.xlsx]Social Support'!$B$2:$C$2</c:f>
              <c:numCache>
                <c:formatCode>0%</c:formatCode>
                <c:ptCount val="2"/>
                <c:pt idx="0">
                  <c:v>0.23</c:v>
                </c:pt>
                <c:pt idx="1">
                  <c:v>0.24</c:v>
                </c:pt>
              </c:numCache>
            </c:numRef>
          </c:val>
        </c:ser>
        <c:ser>
          <c:idx val="1"/>
          <c:order val="1"/>
          <c:tx>
            <c:strRef>
              <c:f>'[ExcelTemplate.xlsx]Social Support'!$A$4</c:f>
              <c:strCache>
                <c:ptCount val="1"/>
                <c:pt idx="0">
                  <c:v>Missouri</c:v>
                </c:pt>
              </c:strCache>
            </c:strRef>
          </c:tx>
          <c:invertIfNegative val="0"/>
          <c:dLbls>
            <c:showLegendKey val="0"/>
            <c:showVal val="1"/>
            <c:showCatName val="0"/>
            <c:showSerName val="0"/>
            <c:showPercent val="0"/>
            <c:showBubbleSize val="0"/>
            <c:showLeaderLines val="0"/>
          </c:dLbls>
          <c:cat>
            <c:numRef>
              <c:f>'[ExcelTemplate.xlsx]Social Support'!$B$1:$C$1</c:f>
              <c:numCache>
                <c:formatCode>General</c:formatCode>
                <c:ptCount val="2"/>
                <c:pt idx="0">
                  <c:v>2011</c:v>
                </c:pt>
                <c:pt idx="1">
                  <c:v>2012</c:v>
                </c:pt>
              </c:numCache>
            </c:numRef>
          </c:cat>
          <c:val>
            <c:numRef>
              <c:f>'[ExcelTemplate.xlsx]Social Support'!$B$4:$C$4</c:f>
              <c:numCache>
                <c:formatCode>0%</c:formatCode>
                <c:ptCount val="2"/>
                <c:pt idx="0">
                  <c:v>0.2</c:v>
                </c:pt>
                <c:pt idx="1">
                  <c:v>0.19</c:v>
                </c:pt>
              </c:numCache>
            </c:numRef>
          </c:val>
        </c:ser>
        <c:ser>
          <c:idx val="2"/>
          <c:order val="2"/>
          <c:tx>
            <c:strRef>
              <c:f>'[ExcelTemplate.xlsx]Social Support'!$A$5</c:f>
              <c:strCache>
                <c:ptCount val="1"/>
                <c:pt idx="0">
                  <c:v>National Benchmark</c:v>
                </c:pt>
              </c:strCache>
            </c:strRef>
          </c:tx>
          <c:invertIfNegative val="0"/>
          <c:dLbls>
            <c:dLbl>
              <c:idx val="0"/>
              <c:layout>
                <c:manualLayout>
                  <c:x val="0"/>
                  <c:y val="-4.629629629629630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'[ExcelTemplate.xlsx]Social Support'!$B$1:$C$1</c:f>
              <c:numCache>
                <c:formatCode>General</c:formatCode>
                <c:ptCount val="2"/>
                <c:pt idx="0">
                  <c:v>2011</c:v>
                </c:pt>
                <c:pt idx="1">
                  <c:v>2012</c:v>
                </c:pt>
              </c:numCache>
            </c:numRef>
          </c:cat>
          <c:val>
            <c:numRef>
              <c:f>'[ExcelTemplate.xlsx]Social Support'!$B$5:$C$5</c:f>
              <c:numCache>
                <c:formatCode>0%</c:formatCode>
                <c:ptCount val="2"/>
                <c:pt idx="0">
                  <c:v>0.14000000000000001</c:v>
                </c:pt>
                <c:pt idx="1">
                  <c:v>0.14000000000000001</c:v>
                </c:pt>
              </c:numCache>
            </c:numRef>
          </c:val>
        </c:ser>
        <c:dLbls>
          <c:showLegendKey val="0"/>
          <c:showVal val="0"/>
          <c:showCatName val="0"/>
          <c:showSerName val="0"/>
          <c:showPercent val="0"/>
          <c:showBubbleSize val="0"/>
        </c:dLbls>
        <c:gapWidth val="150"/>
        <c:axId val="284143616"/>
        <c:axId val="276610368"/>
      </c:barChart>
      <c:catAx>
        <c:axId val="284143616"/>
        <c:scaling>
          <c:orientation val="minMax"/>
        </c:scaling>
        <c:delete val="0"/>
        <c:axPos val="b"/>
        <c:numFmt formatCode="General" sourceLinked="1"/>
        <c:majorTickMark val="out"/>
        <c:minorTickMark val="none"/>
        <c:tickLblPos val="nextTo"/>
        <c:txPr>
          <a:bodyPr/>
          <a:lstStyle/>
          <a:p>
            <a:pPr>
              <a:defRPr>
                <a:latin typeface="+mj-lt"/>
              </a:defRPr>
            </a:pPr>
            <a:endParaRPr lang="en-US"/>
          </a:p>
        </c:txPr>
        <c:crossAx val="276610368"/>
        <c:crosses val="autoZero"/>
        <c:auto val="1"/>
        <c:lblAlgn val="ctr"/>
        <c:lblOffset val="100"/>
        <c:noMultiLvlLbl val="0"/>
      </c:catAx>
      <c:valAx>
        <c:axId val="276610368"/>
        <c:scaling>
          <c:orientation val="minMax"/>
        </c:scaling>
        <c:delete val="0"/>
        <c:axPos val="l"/>
        <c:numFmt formatCode="0%" sourceLinked="1"/>
        <c:majorTickMark val="out"/>
        <c:minorTickMark val="none"/>
        <c:tickLblPos val="nextTo"/>
        <c:txPr>
          <a:bodyPr/>
          <a:lstStyle/>
          <a:p>
            <a:pPr>
              <a:defRPr>
                <a:latin typeface="+mj-lt"/>
              </a:defRPr>
            </a:pPr>
            <a:endParaRPr lang="en-US"/>
          </a:p>
        </c:txPr>
        <c:crossAx val="284143616"/>
        <c:crosses val="autoZero"/>
        <c:crossBetween val="between"/>
      </c:valAx>
    </c:plotArea>
    <c:legend>
      <c:legendPos val="r"/>
      <c:overlay val="0"/>
      <c:txPr>
        <a:bodyPr/>
        <a:lstStyle/>
        <a:p>
          <a:pPr>
            <a:defRPr sz="1050">
              <a:latin typeface="+mj-lt"/>
            </a:defRPr>
          </a:pPr>
          <a:endParaRPr lang="en-US"/>
        </a:p>
      </c:txPr>
    </c:legend>
    <c:plotVisOnly val="1"/>
    <c:dispBlanksAs val="gap"/>
    <c:showDLblsOverMax val="0"/>
  </c:chart>
  <c:spPr>
    <a:ln w="31750">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Gender Breakdown</a:t>
            </a:r>
          </a:p>
        </c:rich>
      </c:tx>
      <c:overlay val="0"/>
    </c:title>
    <c:autoTitleDeleted val="0"/>
    <c:plotArea>
      <c:layout/>
      <c:barChart>
        <c:barDir val="col"/>
        <c:grouping val="clustered"/>
        <c:varyColors val="0"/>
        <c:ser>
          <c:idx val="0"/>
          <c:order val="0"/>
          <c:tx>
            <c:strRef>
              <c:f>GenderBDWN!$H$3</c:f>
              <c:strCache>
                <c:ptCount val="1"/>
                <c:pt idx="0">
                  <c:v>Male</c:v>
                </c:pt>
              </c:strCache>
            </c:strRef>
          </c:tx>
          <c:invertIfNegative val="0"/>
          <c:cat>
            <c:strRef>
              <c:f>GenderBDWN!$I$2:$K$2</c:f>
              <c:strCache>
                <c:ptCount val="3"/>
                <c:pt idx="0">
                  <c:v>Total</c:v>
                </c:pt>
                <c:pt idx="1">
                  <c:v>15-64</c:v>
                </c:pt>
                <c:pt idx="2">
                  <c:v>65+</c:v>
                </c:pt>
              </c:strCache>
            </c:strRef>
          </c:cat>
          <c:val>
            <c:numRef>
              <c:f>GenderBDWN!$I$3:$K$3</c:f>
              <c:numCache>
                <c:formatCode>General</c:formatCode>
                <c:ptCount val="3"/>
                <c:pt idx="0">
                  <c:v>6137</c:v>
                </c:pt>
                <c:pt idx="1">
                  <c:v>3835</c:v>
                </c:pt>
                <c:pt idx="2">
                  <c:v>1418</c:v>
                </c:pt>
              </c:numCache>
            </c:numRef>
          </c:val>
        </c:ser>
        <c:ser>
          <c:idx val="1"/>
          <c:order val="1"/>
          <c:tx>
            <c:strRef>
              <c:f>GenderBDWN!$H$4</c:f>
              <c:strCache>
                <c:ptCount val="1"/>
                <c:pt idx="0">
                  <c:v>Female</c:v>
                </c:pt>
              </c:strCache>
            </c:strRef>
          </c:tx>
          <c:invertIfNegative val="0"/>
          <c:cat>
            <c:strRef>
              <c:f>GenderBDWN!$I$2:$K$2</c:f>
              <c:strCache>
                <c:ptCount val="3"/>
                <c:pt idx="0">
                  <c:v>Total</c:v>
                </c:pt>
                <c:pt idx="1">
                  <c:v>15-64</c:v>
                </c:pt>
                <c:pt idx="2">
                  <c:v>65+</c:v>
                </c:pt>
              </c:strCache>
            </c:strRef>
          </c:cat>
          <c:val>
            <c:numRef>
              <c:f>GenderBDWN!$I$4:$K$4</c:f>
              <c:numCache>
                <c:formatCode>General</c:formatCode>
                <c:ptCount val="3"/>
                <c:pt idx="0">
                  <c:v>6624</c:v>
                </c:pt>
                <c:pt idx="1">
                  <c:v>3923</c:v>
                </c:pt>
                <c:pt idx="2">
                  <c:v>1012</c:v>
                </c:pt>
              </c:numCache>
            </c:numRef>
          </c:val>
        </c:ser>
        <c:dLbls>
          <c:showLegendKey val="0"/>
          <c:showVal val="0"/>
          <c:showCatName val="0"/>
          <c:showSerName val="0"/>
          <c:showPercent val="0"/>
          <c:showBubbleSize val="0"/>
        </c:dLbls>
        <c:gapWidth val="150"/>
        <c:axId val="273131008"/>
        <c:axId val="267297344"/>
      </c:barChart>
      <c:catAx>
        <c:axId val="273131008"/>
        <c:scaling>
          <c:orientation val="minMax"/>
        </c:scaling>
        <c:delete val="0"/>
        <c:axPos val="b"/>
        <c:majorTickMark val="out"/>
        <c:minorTickMark val="none"/>
        <c:tickLblPos val="nextTo"/>
        <c:txPr>
          <a:bodyPr/>
          <a:lstStyle/>
          <a:p>
            <a:pPr>
              <a:defRPr sz="1100">
                <a:latin typeface="+mj-lt"/>
              </a:defRPr>
            </a:pPr>
            <a:endParaRPr lang="en-US"/>
          </a:p>
        </c:txPr>
        <c:crossAx val="267297344"/>
        <c:crosses val="autoZero"/>
        <c:auto val="1"/>
        <c:lblAlgn val="ctr"/>
        <c:lblOffset val="100"/>
        <c:noMultiLvlLbl val="0"/>
      </c:catAx>
      <c:valAx>
        <c:axId val="267297344"/>
        <c:scaling>
          <c:orientation val="minMax"/>
        </c:scaling>
        <c:delete val="0"/>
        <c:axPos val="l"/>
        <c:majorGridlines/>
        <c:numFmt formatCode="General" sourceLinked="1"/>
        <c:majorTickMark val="out"/>
        <c:minorTickMark val="none"/>
        <c:tickLblPos val="nextTo"/>
        <c:crossAx val="273131008"/>
        <c:crosses val="autoZero"/>
        <c:crossBetween val="between"/>
      </c:valAx>
    </c:plotArea>
    <c:legend>
      <c:legendPos val="r"/>
      <c:overlay val="0"/>
      <c:txPr>
        <a:bodyPr/>
        <a:lstStyle/>
        <a:p>
          <a:pPr>
            <a:defRPr sz="1100">
              <a:latin typeface="+mj-lt"/>
            </a:defRPr>
          </a:pPr>
          <a:endParaRPr lang="en-US"/>
        </a:p>
      </c:txPr>
    </c:legend>
    <c:plotVisOnly val="1"/>
    <c:dispBlanksAs val="gap"/>
    <c:showDLblsOverMax val="0"/>
  </c:chart>
  <c:spPr>
    <a:ln w="31750">
      <a:solidFill>
        <a:sysClr val="windowText" lastClr="000000"/>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Ethnicity Breakdown</a:t>
            </a:r>
          </a:p>
        </c:rich>
      </c:tx>
      <c:overlay val="0"/>
    </c:title>
    <c:autoTitleDeleted val="0"/>
    <c:plotArea>
      <c:layout/>
      <c:barChart>
        <c:barDir val="col"/>
        <c:grouping val="percentStacked"/>
        <c:varyColors val="0"/>
        <c:ser>
          <c:idx val="0"/>
          <c:order val="0"/>
          <c:tx>
            <c:strRef>
              <c:f>Ethnicity!$J$2</c:f>
              <c:strCache>
                <c:ptCount val="1"/>
                <c:pt idx="0">
                  <c:v>White</c:v>
                </c:pt>
              </c:strCache>
            </c:strRef>
          </c:tx>
          <c:invertIfNegative val="0"/>
          <c:cat>
            <c:strRef>
              <c:f>Ethnicity!$I$3:$I$4</c:f>
              <c:strCache>
                <c:ptCount val="2"/>
                <c:pt idx="0">
                  <c:v>Missouri</c:v>
                </c:pt>
                <c:pt idx="1">
                  <c:v>Linn</c:v>
                </c:pt>
              </c:strCache>
            </c:strRef>
          </c:cat>
          <c:val>
            <c:numRef>
              <c:f>Ethnicity!$J$3:$J$4</c:f>
              <c:numCache>
                <c:formatCode>General</c:formatCode>
                <c:ptCount val="2"/>
                <c:pt idx="0">
                  <c:v>82.8</c:v>
                </c:pt>
                <c:pt idx="1">
                  <c:v>97.4</c:v>
                </c:pt>
              </c:numCache>
            </c:numRef>
          </c:val>
        </c:ser>
        <c:ser>
          <c:idx val="1"/>
          <c:order val="1"/>
          <c:tx>
            <c:strRef>
              <c:f>Ethnicity!$K$2</c:f>
              <c:strCache>
                <c:ptCount val="1"/>
                <c:pt idx="0">
                  <c:v>Black </c:v>
                </c:pt>
              </c:strCache>
            </c:strRef>
          </c:tx>
          <c:invertIfNegative val="0"/>
          <c:cat>
            <c:strRef>
              <c:f>Ethnicity!$I$3:$I$4</c:f>
              <c:strCache>
                <c:ptCount val="2"/>
                <c:pt idx="0">
                  <c:v>Missouri</c:v>
                </c:pt>
                <c:pt idx="1">
                  <c:v>Linn</c:v>
                </c:pt>
              </c:strCache>
            </c:strRef>
          </c:cat>
          <c:val>
            <c:numRef>
              <c:f>Ethnicity!$K$3:$K$4</c:f>
              <c:numCache>
                <c:formatCode>General</c:formatCode>
                <c:ptCount val="2"/>
                <c:pt idx="0">
                  <c:v>11.6</c:v>
                </c:pt>
                <c:pt idx="1">
                  <c:v>1.6</c:v>
                </c:pt>
              </c:numCache>
            </c:numRef>
          </c:val>
        </c:ser>
        <c:ser>
          <c:idx val="2"/>
          <c:order val="2"/>
          <c:tx>
            <c:strRef>
              <c:f>Ethnicity!$L$2</c:f>
              <c:strCache>
                <c:ptCount val="1"/>
                <c:pt idx="0">
                  <c:v>American Indian and Alaska Native</c:v>
                </c:pt>
              </c:strCache>
            </c:strRef>
          </c:tx>
          <c:invertIfNegative val="0"/>
          <c:cat>
            <c:strRef>
              <c:f>Ethnicity!$I$3:$I$4</c:f>
              <c:strCache>
                <c:ptCount val="2"/>
                <c:pt idx="0">
                  <c:v>Missouri</c:v>
                </c:pt>
                <c:pt idx="1">
                  <c:v>Linn</c:v>
                </c:pt>
              </c:strCache>
            </c:strRef>
          </c:cat>
          <c:val>
            <c:numRef>
              <c:f>Ethnicity!$L$3:$L$4</c:f>
              <c:numCache>
                <c:formatCode>General</c:formatCode>
                <c:ptCount val="2"/>
                <c:pt idx="0">
                  <c:v>0.5</c:v>
                </c:pt>
                <c:pt idx="1">
                  <c:v>0.7</c:v>
                </c:pt>
              </c:numCache>
            </c:numRef>
          </c:val>
        </c:ser>
        <c:ser>
          <c:idx val="3"/>
          <c:order val="3"/>
          <c:tx>
            <c:strRef>
              <c:f>Ethnicity!$M$2</c:f>
              <c:strCache>
                <c:ptCount val="1"/>
                <c:pt idx="0">
                  <c:v>Asian</c:v>
                </c:pt>
              </c:strCache>
            </c:strRef>
          </c:tx>
          <c:invertIfNegative val="0"/>
          <c:cat>
            <c:strRef>
              <c:f>Ethnicity!$I$3:$I$4</c:f>
              <c:strCache>
                <c:ptCount val="2"/>
                <c:pt idx="0">
                  <c:v>Missouri</c:v>
                </c:pt>
                <c:pt idx="1">
                  <c:v>Linn</c:v>
                </c:pt>
              </c:strCache>
            </c:strRef>
          </c:cat>
          <c:val>
            <c:numRef>
              <c:f>Ethnicity!$M$3:$M$4</c:f>
              <c:numCache>
                <c:formatCode>General</c:formatCode>
                <c:ptCount val="2"/>
                <c:pt idx="0">
                  <c:v>1.6</c:v>
                </c:pt>
                <c:pt idx="1">
                  <c:v>0.4</c:v>
                </c:pt>
              </c:numCache>
            </c:numRef>
          </c:val>
        </c:ser>
        <c:ser>
          <c:idx val="4"/>
          <c:order val="4"/>
          <c:tx>
            <c:strRef>
              <c:f>Ethnicity!$N$2</c:f>
              <c:strCache>
                <c:ptCount val="1"/>
                <c:pt idx="0">
                  <c:v>Native Hawaiian and Other Pacific Islander</c:v>
                </c:pt>
              </c:strCache>
            </c:strRef>
          </c:tx>
          <c:invertIfNegative val="0"/>
          <c:cat>
            <c:strRef>
              <c:f>Ethnicity!$I$3:$I$4</c:f>
              <c:strCache>
                <c:ptCount val="2"/>
                <c:pt idx="0">
                  <c:v>Missouri</c:v>
                </c:pt>
                <c:pt idx="1">
                  <c:v>Linn</c:v>
                </c:pt>
              </c:strCache>
            </c:strRef>
          </c:cat>
          <c:val>
            <c:numRef>
              <c:f>Ethnicity!$N$3:$N$4</c:f>
              <c:numCache>
                <c:formatCode>General</c:formatCode>
                <c:ptCount val="2"/>
                <c:pt idx="0">
                  <c:v>0.1</c:v>
                </c:pt>
                <c:pt idx="1">
                  <c:v>0</c:v>
                </c:pt>
              </c:numCache>
            </c:numRef>
          </c:val>
        </c:ser>
        <c:ser>
          <c:idx val="5"/>
          <c:order val="5"/>
          <c:tx>
            <c:strRef>
              <c:f>Ethnicity!$O$2</c:f>
              <c:strCache>
                <c:ptCount val="1"/>
                <c:pt idx="0">
                  <c:v>Two or More Races</c:v>
                </c:pt>
              </c:strCache>
            </c:strRef>
          </c:tx>
          <c:invertIfNegative val="0"/>
          <c:cat>
            <c:strRef>
              <c:f>Ethnicity!$I$3:$I$4</c:f>
              <c:strCache>
                <c:ptCount val="2"/>
                <c:pt idx="0">
                  <c:v>Missouri</c:v>
                </c:pt>
                <c:pt idx="1">
                  <c:v>Linn</c:v>
                </c:pt>
              </c:strCache>
            </c:strRef>
          </c:cat>
          <c:val>
            <c:numRef>
              <c:f>Ethnicity!$O$3:$O$4</c:f>
              <c:numCache>
                <c:formatCode>General</c:formatCode>
                <c:ptCount val="2"/>
                <c:pt idx="0">
                  <c:v>2.1</c:v>
                </c:pt>
                <c:pt idx="1">
                  <c:v>1.5</c:v>
                </c:pt>
              </c:numCache>
            </c:numRef>
          </c:val>
        </c:ser>
        <c:ser>
          <c:idx val="6"/>
          <c:order val="6"/>
          <c:tx>
            <c:strRef>
              <c:f>Ethnicity!$P$2</c:f>
              <c:strCache>
                <c:ptCount val="1"/>
                <c:pt idx="0">
                  <c:v>Hispanic or Latino</c:v>
                </c:pt>
              </c:strCache>
            </c:strRef>
          </c:tx>
          <c:invertIfNegative val="0"/>
          <c:cat>
            <c:strRef>
              <c:f>Ethnicity!$I$3:$I$4</c:f>
              <c:strCache>
                <c:ptCount val="2"/>
                <c:pt idx="0">
                  <c:v>Missouri</c:v>
                </c:pt>
                <c:pt idx="1">
                  <c:v>Linn</c:v>
                </c:pt>
              </c:strCache>
            </c:strRef>
          </c:cat>
          <c:val>
            <c:numRef>
              <c:f>Ethnicity!$P$3:$P$4</c:f>
              <c:numCache>
                <c:formatCode>General</c:formatCode>
                <c:ptCount val="2"/>
                <c:pt idx="0">
                  <c:v>3.5</c:v>
                </c:pt>
                <c:pt idx="1">
                  <c:v>1.3</c:v>
                </c:pt>
              </c:numCache>
            </c:numRef>
          </c:val>
        </c:ser>
        <c:dLbls>
          <c:showLegendKey val="0"/>
          <c:showVal val="0"/>
          <c:showCatName val="0"/>
          <c:showSerName val="0"/>
          <c:showPercent val="0"/>
          <c:showBubbleSize val="0"/>
        </c:dLbls>
        <c:gapWidth val="150"/>
        <c:overlap val="100"/>
        <c:axId val="273133056"/>
        <c:axId val="267299072"/>
      </c:barChart>
      <c:catAx>
        <c:axId val="273133056"/>
        <c:scaling>
          <c:orientation val="minMax"/>
        </c:scaling>
        <c:delete val="0"/>
        <c:axPos val="b"/>
        <c:majorTickMark val="out"/>
        <c:minorTickMark val="none"/>
        <c:tickLblPos val="nextTo"/>
        <c:txPr>
          <a:bodyPr/>
          <a:lstStyle/>
          <a:p>
            <a:pPr>
              <a:defRPr sz="1050">
                <a:latin typeface="+mj-lt"/>
              </a:defRPr>
            </a:pPr>
            <a:endParaRPr lang="en-US"/>
          </a:p>
        </c:txPr>
        <c:crossAx val="267299072"/>
        <c:crosses val="autoZero"/>
        <c:auto val="1"/>
        <c:lblAlgn val="ctr"/>
        <c:lblOffset val="100"/>
        <c:noMultiLvlLbl val="0"/>
      </c:catAx>
      <c:valAx>
        <c:axId val="267299072"/>
        <c:scaling>
          <c:orientation val="minMax"/>
        </c:scaling>
        <c:delete val="0"/>
        <c:axPos val="l"/>
        <c:majorGridlines/>
        <c:numFmt formatCode="0%" sourceLinked="1"/>
        <c:majorTickMark val="out"/>
        <c:minorTickMark val="none"/>
        <c:tickLblPos val="nextTo"/>
        <c:txPr>
          <a:bodyPr/>
          <a:lstStyle/>
          <a:p>
            <a:pPr>
              <a:defRPr>
                <a:latin typeface="+mj-lt"/>
              </a:defRPr>
            </a:pPr>
            <a:endParaRPr lang="en-US"/>
          </a:p>
        </c:txPr>
        <c:crossAx val="273133056"/>
        <c:crosses val="autoZero"/>
        <c:crossBetween val="between"/>
      </c:valAx>
    </c:plotArea>
    <c:legend>
      <c:legendPos val="r"/>
      <c:layout>
        <c:manualLayout>
          <c:xMode val="edge"/>
          <c:yMode val="edge"/>
          <c:x val="0.68431124234470797"/>
          <c:y val="0.15479841061534"/>
          <c:w val="0.30179986876640402"/>
          <c:h val="0.802000583260426"/>
        </c:manualLayout>
      </c:layout>
      <c:overlay val="0"/>
      <c:txPr>
        <a:bodyPr/>
        <a:lstStyle/>
        <a:p>
          <a:pPr>
            <a:defRPr>
              <a:latin typeface="+mj-lt"/>
            </a:defRPr>
          </a:pPr>
          <a:endParaRPr lang="en-US"/>
        </a:p>
      </c:txPr>
    </c:legend>
    <c:plotVisOnly val="1"/>
    <c:dispBlanksAs val="gap"/>
    <c:showDLblsOverMax val="0"/>
  </c:chart>
  <c:spPr>
    <a:ln w="31750">
      <a:solidFill>
        <a:sysClr val="windowText" lastClr="000000"/>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Denominational Groups</a:t>
            </a:r>
          </a:p>
        </c:rich>
      </c:tx>
      <c:layout>
        <c:manualLayout>
          <c:xMode val="edge"/>
          <c:yMode val="edge"/>
          <c:x val="6.3486001749781404E-2"/>
          <c:y val="0.04"/>
        </c:manualLayout>
      </c:layout>
      <c:overlay val="0"/>
    </c:title>
    <c:autoTitleDeleted val="0"/>
    <c:plotArea>
      <c:layout/>
      <c:pieChart>
        <c:varyColors val="1"/>
        <c:ser>
          <c:idx val="0"/>
          <c:order val="0"/>
          <c:cat>
            <c:strRef>
              <c:f>Religion!$A$2:$A$8</c:f>
              <c:strCache>
                <c:ptCount val="7"/>
                <c:pt idx="0">
                  <c:v>Catholic</c:v>
                </c:pt>
                <c:pt idx="1">
                  <c:v>Orthodox</c:v>
                </c:pt>
                <c:pt idx="2">
                  <c:v>Other</c:v>
                </c:pt>
                <c:pt idx="3">
                  <c:v>Unclaimed</c:v>
                </c:pt>
                <c:pt idx="4">
                  <c:v>Evangelical Protestant</c:v>
                </c:pt>
                <c:pt idx="5">
                  <c:v>Black Protestant</c:v>
                </c:pt>
                <c:pt idx="6">
                  <c:v>Mainline Protestant</c:v>
                </c:pt>
              </c:strCache>
            </c:strRef>
          </c:cat>
          <c:val>
            <c:numRef>
              <c:f>Religion!$B$2:$B$8</c:f>
              <c:numCache>
                <c:formatCode>General</c:formatCode>
                <c:ptCount val="7"/>
                <c:pt idx="0">
                  <c:v>994</c:v>
                </c:pt>
                <c:pt idx="1">
                  <c:v>0</c:v>
                </c:pt>
                <c:pt idx="2">
                  <c:v>119</c:v>
                </c:pt>
                <c:pt idx="3">
                  <c:v>4128</c:v>
                </c:pt>
                <c:pt idx="4">
                  <c:v>4550</c:v>
                </c:pt>
                <c:pt idx="5">
                  <c:v>0</c:v>
                </c:pt>
                <c:pt idx="6">
                  <c:v>2970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072637795275601"/>
          <c:y val="6.01851268591427E-2"/>
          <c:w val="0.332606955380578"/>
          <c:h val="0.93981481481481599"/>
        </c:manualLayout>
      </c:layout>
      <c:overlay val="0"/>
      <c:txPr>
        <a:bodyPr/>
        <a:lstStyle/>
        <a:p>
          <a:pPr>
            <a:defRPr sz="1200">
              <a:latin typeface="+mj-lt"/>
            </a:defRPr>
          </a:pPr>
          <a:endParaRPr lang="en-US"/>
        </a:p>
      </c:txPr>
    </c:legend>
    <c:plotVisOnly val="1"/>
    <c:dispBlanksAs val="gap"/>
    <c:showDLblsOverMax val="0"/>
  </c:chart>
  <c:spPr>
    <a:ln w="31750">
      <a:solidFill>
        <a:sysClr val="windowText" lastClr="000000"/>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Educational Attainment</a:t>
            </a:r>
          </a:p>
        </c:rich>
      </c:tx>
      <c:layout>
        <c:manualLayout>
          <c:xMode val="edge"/>
          <c:yMode val="edge"/>
          <c:x val="5.5277777777777801E-2"/>
          <c:y val="3.2407407407407503E-2"/>
        </c:manualLayout>
      </c:layout>
      <c:overlay val="0"/>
    </c:title>
    <c:autoTitleDeleted val="0"/>
    <c:plotArea>
      <c:layout/>
      <c:pieChart>
        <c:varyColors val="1"/>
        <c:ser>
          <c:idx val="0"/>
          <c:order val="0"/>
          <c:dLbls>
            <c:txPr>
              <a:bodyPr/>
              <a:lstStyle/>
              <a:p>
                <a:pPr>
                  <a:defRPr>
                    <a:latin typeface="+mj-lt"/>
                  </a:defRPr>
                </a:pPr>
                <a:endParaRPr lang="en-US"/>
              </a:p>
            </c:txPr>
            <c:showLegendKey val="0"/>
            <c:showVal val="1"/>
            <c:showCatName val="0"/>
            <c:showSerName val="0"/>
            <c:showPercent val="0"/>
            <c:showBubbleSize val="0"/>
            <c:showLeaderLines val="1"/>
          </c:dLbls>
          <c:cat>
            <c:strRef>
              <c:f>[ExcelTemplate.xlsx]Education!$A$3:$A$9</c:f>
              <c:strCache>
                <c:ptCount val="7"/>
                <c:pt idx="0">
                  <c:v>Less than 9th grade</c:v>
                </c:pt>
                <c:pt idx="1">
                  <c:v>9th to 12th grade, no diploma</c:v>
                </c:pt>
                <c:pt idx="2">
                  <c:v>High school graduate </c:v>
                </c:pt>
                <c:pt idx="3">
                  <c:v>Some college, no degree</c:v>
                </c:pt>
                <c:pt idx="4">
                  <c:v>Associate's degree</c:v>
                </c:pt>
                <c:pt idx="5">
                  <c:v>Bachelor's degree</c:v>
                </c:pt>
                <c:pt idx="6">
                  <c:v>Graduate or professional degree</c:v>
                </c:pt>
              </c:strCache>
            </c:strRef>
          </c:cat>
          <c:val>
            <c:numRef>
              <c:f>[ExcelTemplate.xlsx]Education!$H$3:$H$9</c:f>
              <c:numCache>
                <c:formatCode>0.00%</c:formatCode>
                <c:ptCount val="7"/>
                <c:pt idx="0">
                  <c:v>4.9000000000000002E-2</c:v>
                </c:pt>
                <c:pt idx="1">
                  <c:v>0.06</c:v>
                </c:pt>
                <c:pt idx="2">
                  <c:v>0.52600000000000002</c:v>
                </c:pt>
                <c:pt idx="3">
                  <c:v>0.17799999999999999</c:v>
                </c:pt>
                <c:pt idx="4">
                  <c:v>5.3999999999999999E-2</c:v>
                </c:pt>
                <c:pt idx="5">
                  <c:v>7.4999999999999997E-2</c:v>
                </c:pt>
                <c:pt idx="6">
                  <c:v>5.7000000000000002E-2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3033464566929"/>
          <c:y val="6.6592300962379697E-2"/>
          <c:w val="0.340299868766404"/>
          <c:h val="0.85755613881598103"/>
        </c:manualLayout>
      </c:layout>
      <c:overlay val="0"/>
      <c:txPr>
        <a:bodyPr/>
        <a:lstStyle/>
        <a:p>
          <a:pPr>
            <a:defRPr sz="1050">
              <a:latin typeface="+mj-lt"/>
            </a:defRPr>
          </a:pPr>
          <a:endParaRPr lang="en-US"/>
        </a:p>
      </c:txPr>
    </c:legend>
    <c:plotVisOnly val="1"/>
    <c:dispBlanksAs val="gap"/>
    <c:showDLblsOverMax val="0"/>
  </c:chart>
  <c:spPr>
    <a:ln w="31750">
      <a:solidFill>
        <a:sysClr val="windowText" lastClr="000000"/>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2000">
                <a:latin typeface="+mj-lt"/>
              </a:rPr>
              <a:t>Income Levels</a:t>
            </a:r>
          </a:p>
        </c:rich>
      </c:tx>
      <c:overlay val="0"/>
    </c:title>
    <c:autoTitleDeleted val="0"/>
    <c:plotArea>
      <c:layout/>
      <c:pieChart>
        <c:varyColors val="1"/>
        <c:ser>
          <c:idx val="0"/>
          <c:order val="0"/>
          <c:dLbls>
            <c:dLbl>
              <c:idx val="6"/>
              <c:layout>
                <c:manualLayout>
                  <c:x val="-2.07927225471085E-2"/>
                  <c:y val="1.2422360248447201E-2"/>
                </c:manualLayout>
              </c:layout>
              <c:dLblPos val="bestFit"/>
              <c:showLegendKey val="0"/>
              <c:showVal val="1"/>
              <c:showCatName val="0"/>
              <c:showSerName val="0"/>
              <c:showPercent val="0"/>
              <c:showBubbleSize val="0"/>
            </c:dLbl>
            <c:dLbl>
              <c:idx val="7"/>
              <c:layout>
                <c:manualLayout>
                  <c:x val="-5.4580896686159799E-2"/>
                  <c:y val="-4.1407867494824002E-3"/>
                </c:manualLayout>
              </c:layout>
              <c:dLblPos val="bestFit"/>
              <c:showLegendKey val="0"/>
              <c:showVal val="1"/>
              <c:showCatName val="0"/>
              <c:showSerName val="0"/>
              <c:showPercent val="0"/>
              <c:showBubbleSize val="0"/>
            </c:dLbl>
            <c:dLbl>
              <c:idx val="8"/>
              <c:layout>
                <c:manualLayout>
                  <c:x val="-4.9382716049382797E-2"/>
                  <c:y val="-1.6563146997929601E-2"/>
                </c:manualLayout>
              </c:layout>
              <c:dLblPos val="bestFit"/>
              <c:showLegendKey val="0"/>
              <c:showVal val="1"/>
              <c:showCatName val="0"/>
              <c:showSerName val="0"/>
              <c:showPercent val="0"/>
              <c:showBubbleSize val="0"/>
            </c:dLbl>
            <c:dLbl>
              <c:idx val="9"/>
              <c:layout>
                <c:manualLayout>
                  <c:x val="5.1981806367771298E-2"/>
                  <c:y val="-1.6563146997929601E-2"/>
                </c:manualLayout>
              </c:layout>
              <c:dLblPos val="bestFit"/>
              <c:showLegendKey val="0"/>
              <c:showVal val="1"/>
              <c:showCatName val="0"/>
              <c:showSerName val="0"/>
              <c:showPercent val="0"/>
              <c:showBubbleSize val="0"/>
            </c:dLbl>
            <c:txPr>
              <a:bodyPr/>
              <a:lstStyle/>
              <a:p>
                <a:pPr>
                  <a:defRPr>
                    <a:latin typeface="+mj-lt"/>
                  </a:defRPr>
                </a:pPr>
                <a:endParaRPr lang="en-US"/>
              </a:p>
            </c:txPr>
            <c:dLblPos val="outEnd"/>
            <c:showLegendKey val="0"/>
            <c:showVal val="1"/>
            <c:showCatName val="0"/>
            <c:showSerName val="0"/>
            <c:showPercent val="0"/>
            <c:showBubbleSize val="0"/>
            <c:showLeaderLines val="1"/>
          </c:dLbls>
          <c:cat>
            <c:strRef>
              <c:f>[ExcelBrookfield.xlsx]Income!$A$2:$A$11</c:f>
              <c:strCache>
                <c:ptCount val="10"/>
                <c:pt idx="0">
                  <c:v>Less than $10,000</c:v>
                </c:pt>
                <c:pt idx="1">
                  <c:v>$10,000 to $14,999</c:v>
                </c:pt>
                <c:pt idx="2">
                  <c:v>$15,000 to $24,999</c:v>
                </c:pt>
                <c:pt idx="3">
                  <c:v>$25,000 to $34,999</c:v>
                </c:pt>
                <c:pt idx="4">
                  <c:v>$35,000 to $49,999</c:v>
                </c:pt>
                <c:pt idx="5">
                  <c:v>$50,000 to $74,999</c:v>
                </c:pt>
                <c:pt idx="6">
                  <c:v>$75,000 to $99,999</c:v>
                </c:pt>
                <c:pt idx="7">
                  <c:v>$100,000 to $149,999</c:v>
                </c:pt>
                <c:pt idx="8">
                  <c:v>$150,000 to $199,999</c:v>
                </c:pt>
                <c:pt idx="9">
                  <c:v>$200,000 or more</c:v>
                </c:pt>
              </c:strCache>
            </c:strRef>
          </c:cat>
          <c:val>
            <c:numRef>
              <c:f>[ExcelBrookfield.xlsx]Income!$D$2:$D$11</c:f>
              <c:numCache>
                <c:formatCode>0.00%</c:formatCode>
                <c:ptCount val="10"/>
                <c:pt idx="0">
                  <c:v>0.10199999999999999</c:v>
                </c:pt>
                <c:pt idx="1">
                  <c:v>9.8000000000000004E-2</c:v>
                </c:pt>
                <c:pt idx="2">
                  <c:v>0.156</c:v>
                </c:pt>
                <c:pt idx="3">
                  <c:v>0.11</c:v>
                </c:pt>
                <c:pt idx="4">
                  <c:v>0.159</c:v>
                </c:pt>
                <c:pt idx="5">
                  <c:v>0.187</c:v>
                </c:pt>
                <c:pt idx="6">
                  <c:v>9.9000000000000005E-2</c:v>
                </c:pt>
                <c:pt idx="7">
                  <c:v>6.6000000000000003E-2</c:v>
                </c:pt>
                <c:pt idx="8">
                  <c:v>8.0000000000000002E-3</c:v>
                </c:pt>
                <c:pt idx="9">
                  <c:v>1.4999999999999999E-2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050">
              <a:latin typeface="+mj-lt"/>
            </a:defRPr>
          </a:pPr>
          <a:endParaRPr lang="en-US"/>
        </a:p>
      </c:txPr>
    </c:legend>
    <c:plotVisOnly val="1"/>
    <c:dispBlanksAs val="gap"/>
    <c:showDLblsOverMax val="0"/>
  </c:chart>
  <c:spPr>
    <a:ln w="31750">
      <a:solidFill>
        <a:sysClr val="windowText" lastClr="000000"/>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000"/>
            </a:pPr>
            <a:r>
              <a:rPr lang="en-US" sz="2000">
                <a:latin typeface="+mj-lt"/>
              </a:rPr>
              <a:t>Premature</a:t>
            </a:r>
            <a:r>
              <a:rPr lang="en-US" sz="2000" baseline="0">
                <a:latin typeface="+mj-lt"/>
              </a:rPr>
              <a:t> Death</a:t>
            </a:r>
            <a:endParaRPr lang="en-US" sz="2000">
              <a:latin typeface="+mj-lt"/>
            </a:endParaRPr>
          </a:p>
        </c:rich>
      </c:tx>
      <c:overlay val="0"/>
    </c:title>
    <c:autoTitleDeleted val="0"/>
    <c:plotArea>
      <c:layout/>
      <c:barChart>
        <c:barDir val="col"/>
        <c:grouping val="clustered"/>
        <c:varyColors val="0"/>
        <c:ser>
          <c:idx val="0"/>
          <c:order val="0"/>
          <c:invertIfNegative val="0"/>
          <c:dPt>
            <c:idx val="0"/>
            <c:invertIfNegative val="0"/>
            <c:bubble3D val="0"/>
            <c:spPr>
              <a:solidFill>
                <a:srgbClr val="4F81BD"/>
              </a:solidFill>
            </c:spPr>
          </c:dPt>
          <c:dPt>
            <c:idx val="1"/>
            <c:invertIfNegative val="0"/>
            <c:bubble3D val="0"/>
            <c:spPr>
              <a:solidFill>
                <a:schemeClr val="accent2"/>
              </a:solidFill>
            </c:spPr>
          </c:dPt>
          <c:dPt>
            <c:idx val="2"/>
            <c:invertIfNegative val="0"/>
            <c:bubble3D val="0"/>
            <c:spPr>
              <a:solidFill>
                <a:schemeClr val="accent3">
                  <a:lumMod val="75000"/>
                </a:schemeClr>
              </a:solidFill>
            </c:spPr>
          </c:dPt>
          <c:dLbls>
            <c:txPr>
              <a:bodyPr/>
              <a:lstStyle/>
              <a:p>
                <a:pPr>
                  <a:defRPr>
                    <a:latin typeface="+mj-lt"/>
                  </a:defRPr>
                </a:pPr>
                <a:endParaRPr lang="en-US"/>
              </a:p>
            </c:txPr>
            <c:showLegendKey val="0"/>
            <c:showVal val="1"/>
            <c:showCatName val="0"/>
            <c:showSerName val="0"/>
            <c:showPercent val="0"/>
            <c:showBubbleSize val="0"/>
            <c:showLeaderLines val="0"/>
          </c:dLbls>
          <c:cat>
            <c:strRef>
              <c:f>[ExcelTemplate.xlsx]Mortality!$A$2,[ExcelTemplate.xlsx]Mortality!$A$4,[ExcelTemplate.xlsx]Mortality!$A$5</c:f>
              <c:strCache>
                <c:ptCount val="3"/>
                <c:pt idx="0">
                  <c:v>Linn</c:v>
                </c:pt>
                <c:pt idx="1">
                  <c:v> Missouri</c:v>
                </c:pt>
                <c:pt idx="2">
                  <c:v>National Benchmark</c:v>
                </c:pt>
              </c:strCache>
            </c:strRef>
          </c:cat>
          <c:val>
            <c:numRef>
              <c:f>[ExcelTemplate.xlsx]Mortality!$C$2,[ExcelTemplate.xlsx]Mortality!$C$4,[ExcelTemplate.xlsx]Mortality!$C$5</c:f>
              <c:numCache>
                <c:formatCode>#,##0</c:formatCode>
                <c:ptCount val="3"/>
                <c:pt idx="0">
                  <c:v>7722</c:v>
                </c:pt>
                <c:pt idx="1">
                  <c:v>7981</c:v>
                </c:pt>
                <c:pt idx="2">
                  <c:v>5466</c:v>
                </c:pt>
              </c:numCache>
            </c:numRef>
          </c:val>
        </c:ser>
        <c:dLbls>
          <c:showLegendKey val="0"/>
          <c:showVal val="0"/>
          <c:showCatName val="0"/>
          <c:showSerName val="0"/>
          <c:showPercent val="0"/>
          <c:showBubbleSize val="0"/>
        </c:dLbls>
        <c:gapWidth val="150"/>
        <c:axId val="276819968"/>
        <c:axId val="267304256"/>
      </c:barChart>
      <c:catAx>
        <c:axId val="276819968"/>
        <c:scaling>
          <c:orientation val="minMax"/>
        </c:scaling>
        <c:delete val="0"/>
        <c:axPos val="b"/>
        <c:majorTickMark val="out"/>
        <c:minorTickMark val="none"/>
        <c:tickLblPos val="nextTo"/>
        <c:txPr>
          <a:bodyPr/>
          <a:lstStyle/>
          <a:p>
            <a:pPr>
              <a:defRPr sz="1200">
                <a:latin typeface="+mj-lt"/>
              </a:defRPr>
            </a:pPr>
            <a:endParaRPr lang="en-US"/>
          </a:p>
        </c:txPr>
        <c:crossAx val="267304256"/>
        <c:crosses val="autoZero"/>
        <c:auto val="1"/>
        <c:lblAlgn val="ctr"/>
        <c:lblOffset val="100"/>
        <c:noMultiLvlLbl val="0"/>
      </c:catAx>
      <c:valAx>
        <c:axId val="267304256"/>
        <c:scaling>
          <c:orientation val="minMax"/>
        </c:scaling>
        <c:delete val="0"/>
        <c:axPos val="l"/>
        <c:title>
          <c:tx>
            <c:rich>
              <a:bodyPr rot="-5400000" vert="horz"/>
              <a:lstStyle/>
              <a:p>
                <a:pPr>
                  <a:defRPr>
                    <a:latin typeface="+mj-lt"/>
                  </a:defRPr>
                </a:pPr>
                <a:r>
                  <a:rPr lang="en-US">
                    <a:latin typeface="+mj-lt"/>
                  </a:rPr>
                  <a:t>Years</a:t>
                </a:r>
                <a:r>
                  <a:rPr lang="en-US" baseline="0">
                    <a:latin typeface="+mj-lt"/>
                  </a:rPr>
                  <a:t> of Potential Life Lost</a:t>
                </a:r>
                <a:endParaRPr lang="en-US">
                  <a:latin typeface="+mj-lt"/>
                </a:endParaRPr>
              </a:p>
            </c:rich>
          </c:tx>
          <c:overlay val="0"/>
        </c:title>
        <c:numFmt formatCode="#,##0" sourceLinked="1"/>
        <c:majorTickMark val="out"/>
        <c:minorTickMark val="none"/>
        <c:tickLblPos val="nextTo"/>
        <c:crossAx val="276819968"/>
        <c:crosses val="autoZero"/>
        <c:crossBetween val="between"/>
      </c:valAx>
    </c:plotArea>
    <c:plotVisOnly val="1"/>
    <c:dispBlanksAs val="gap"/>
    <c:showDLblsOverMax val="0"/>
  </c:chart>
  <c:spPr>
    <a:ln w="31750">
      <a:solidFill>
        <a:sysClr val="windowText" lastClr="000000"/>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mj-lt"/>
              </a:rPr>
              <a:t>Poor Mental Health Days</a:t>
            </a:r>
          </a:p>
        </c:rich>
      </c:tx>
      <c:overlay val="0"/>
    </c:title>
    <c:autoTitleDeleted val="0"/>
    <c:plotArea>
      <c:layout/>
      <c:barChart>
        <c:barDir val="col"/>
        <c:grouping val="clustered"/>
        <c:varyColors val="0"/>
        <c:ser>
          <c:idx val="0"/>
          <c:order val="0"/>
          <c:tx>
            <c:strRef>
              <c:f>'Mental Health'!$B$2</c:f>
              <c:strCache>
                <c:ptCount val="1"/>
                <c:pt idx="0">
                  <c:v>Linn</c:v>
                </c:pt>
              </c:strCache>
            </c:strRef>
          </c:tx>
          <c:invertIfNegative val="0"/>
          <c:cat>
            <c:numRef>
              <c:f>'Mental Health'!$A$3:$A$4</c:f>
              <c:numCache>
                <c:formatCode>General</c:formatCode>
                <c:ptCount val="2"/>
                <c:pt idx="0">
                  <c:v>2011</c:v>
                </c:pt>
                <c:pt idx="1">
                  <c:v>2012</c:v>
                </c:pt>
              </c:numCache>
            </c:numRef>
          </c:cat>
          <c:val>
            <c:numRef>
              <c:f>'Mental Health'!$B$3:$B$4</c:f>
              <c:numCache>
                <c:formatCode>General</c:formatCode>
                <c:ptCount val="2"/>
                <c:pt idx="0">
                  <c:v>3.6</c:v>
                </c:pt>
                <c:pt idx="1">
                  <c:v>4.0999999999999996</c:v>
                </c:pt>
              </c:numCache>
            </c:numRef>
          </c:val>
        </c:ser>
        <c:ser>
          <c:idx val="1"/>
          <c:order val="1"/>
          <c:tx>
            <c:strRef>
              <c:f>'Mental Health'!$C$2</c:f>
              <c:strCache>
                <c:ptCount val="1"/>
                <c:pt idx="0">
                  <c:v>Missouri</c:v>
                </c:pt>
              </c:strCache>
            </c:strRef>
          </c:tx>
          <c:invertIfNegative val="0"/>
          <c:cat>
            <c:numRef>
              <c:f>'Mental Health'!$A$3:$A$4</c:f>
              <c:numCache>
                <c:formatCode>General</c:formatCode>
                <c:ptCount val="2"/>
                <c:pt idx="0">
                  <c:v>2011</c:v>
                </c:pt>
                <c:pt idx="1">
                  <c:v>2012</c:v>
                </c:pt>
              </c:numCache>
            </c:numRef>
          </c:cat>
          <c:val>
            <c:numRef>
              <c:f>'Mental Health'!$C$3:$C$4</c:f>
              <c:numCache>
                <c:formatCode>General</c:formatCode>
                <c:ptCount val="2"/>
                <c:pt idx="0">
                  <c:v>3.6</c:v>
                </c:pt>
                <c:pt idx="1">
                  <c:v>3.7</c:v>
                </c:pt>
              </c:numCache>
            </c:numRef>
          </c:val>
        </c:ser>
        <c:ser>
          <c:idx val="2"/>
          <c:order val="2"/>
          <c:tx>
            <c:strRef>
              <c:f>'Mental Health'!$D$2</c:f>
              <c:strCache>
                <c:ptCount val="1"/>
                <c:pt idx="0">
                  <c:v>National Benchmark</c:v>
                </c:pt>
              </c:strCache>
            </c:strRef>
          </c:tx>
          <c:invertIfNegative val="0"/>
          <c:cat>
            <c:numRef>
              <c:f>'Mental Health'!$A$3:$A$4</c:f>
              <c:numCache>
                <c:formatCode>General</c:formatCode>
                <c:ptCount val="2"/>
                <c:pt idx="0">
                  <c:v>2011</c:v>
                </c:pt>
                <c:pt idx="1">
                  <c:v>2012</c:v>
                </c:pt>
              </c:numCache>
            </c:numRef>
          </c:cat>
          <c:val>
            <c:numRef>
              <c:f>'Mental Health'!$D$3:$D$4</c:f>
              <c:numCache>
                <c:formatCode>General</c:formatCode>
                <c:ptCount val="2"/>
                <c:pt idx="0">
                  <c:v>2.2999999999999998</c:v>
                </c:pt>
                <c:pt idx="1">
                  <c:v>2.2999999999999998</c:v>
                </c:pt>
              </c:numCache>
            </c:numRef>
          </c:val>
        </c:ser>
        <c:dLbls>
          <c:showLegendKey val="0"/>
          <c:showVal val="0"/>
          <c:showCatName val="0"/>
          <c:showSerName val="0"/>
          <c:showPercent val="0"/>
          <c:showBubbleSize val="0"/>
        </c:dLbls>
        <c:gapWidth val="150"/>
        <c:axId val="276821504"/>
        <c:axId val="276367040"/>
      </c:barChart>
      <c:catAx>
        <c:axId val="276821504"/>
        <c:scaling>
          <c:orientation val="minMax"/>
        </c:scaling>
        <c:delete val="0"/>
        <c:axPos val="b"/>
        <c:numFmt formatCode="General" sourceLinked="1"/>
        <c:majorTickMark val="out"/>
        <c:minorTickMark val="none"/>
        <c:tickLblPos val="nextTo"/>
        <c:txPr>
          <a:bodyPr/>
          <a:lstStyle/>
          <a:p>
            <a:pPr>
              <a:defRPr>
                <a:latin typeface="+mj-lt"/>
              </a:defRPr>
            </a:pPr>
            <a:endParaRPr lang="en-US"/>
          </a:p>
        </c:txPr>
        <c:crossAx val="276367040"/>
        <c:crosses val="autoZero"/>
        <c:auto val="1"/>
        <c:lblAlgn val="ctr"/>
        <c:lblOffset val="100"/>
        <c:noMultiLvlLbl val="0"/>
      </c:catAx>
      <c:valAx>
        <c:axId val="276367040"/>
        <c:scaling>
          <c:orientation val="minMax"/>
        </c:scaling>
        <c:delete val="0"/>
        <c:axPos val="l"/>
        <c:majorGridlines/>
        <c:numFmt formatCode="General" sourceLinked="1"/>
        <c:majorTickMark val="out"/>
        <c:minorTickMark val="none"/>
        <c:tickLblPos val="nextTo"/>
        <c:txPr>
          <a:bodyPr/>
          <a:lstStyle/>
          <a:p>
            <a:pPr>
              <a:defRPr>
                <a:latin typeface="+mj-lt"/>
              </a:defRPr>
            </a:pPr>
            <a:endParaRPr lang="en-US"/>
          </a:p>
        </c:txPr>
        <c:crossAx val="276821504"/>
        <c:crosses val="autoZero"/>
        <c:crossBetween val="between"/>
      </c:valAx>
    </c:plotArea>
    <c:legend>
      <c:legendPos val="r"/>
      <c:overlay val="0"/>
      <c:txPr>
        <a:bodyPr/>
        <a:lstStyle/>
        <a:p>
          <a:pPr>
            <a:defRPr sz="1100">
              <a:latin typeface="+mj-lt"/>
            </a:defRPr>
          </a:pPr>
          <a:endParaRPr lang="en-US"/>
        </a:p>
      </c:txPr>
    </c:legend>
    <c:plotVisOnly val="1"/>
    <c:dispBlanksAs val="gap"/>
    <c:showDLblsOverMax val="0"/>
  </c:chart>
  <c:spPr>
    <a:ln w="31750">
      <a:solidFill>
        <a:schemeClr val="tx1"/>
      </a:solid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0.01043</cdr:x>
      <cdr:y>0.63038</cdr:y>
    </cdr:from>
    <cdr:to>
      <cdr:x>0.46372</cdr:x>
      <cdr:y>0.72405</cdr:y>
    </cdr:to>
    <cdr:sp macro="" textlink="">
      <cdr:nvSpPr>
        <cdr:cNvPr id="2" name="TextBox 1"/>
        <cdr:cNvSpPr txBox="1"/>
      </cdr:nvSpPr>
      <cdr:spPr>
        <a:xfrm xmlns:a="http://schemas.openxmlformats.org/drawingml/2006/main">
          <a:off x="55649" y="2371716"/>
          <a:ext cx="2417850" cy="3524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latin typeface="+mj-lt"/>
            </a:rPr>
            <a:t>Linn</a:t>
          </a:r>
          <a:r>
            <a:rPr lang="en-US" sz="1400" b="1" baseline="0">
              <a:latin typeface="+mj-lt"/>
            </a:rPr>
            <a:t> County </a:t>
          </a:r>
          <a:endParaRPr lang="en-US" sz="1400" b="1">
            <a:latin typeface="+mj-lt"/>
          </a:endParaRPr>
        </a:p>
      </cdr:txBody>
    </cdr:sp>
  </cdr:relSizeAnchor>
  <cdr:relSizeAnchor xmlns:cdr="http://schemas.openxmlformats.org/drawingml/2006/chartDrawing">
    <cdr:from>
      <cdr:x>0.77168</cdr:x>
      <cdr:y>0.47089</cdr:y>
    </cdr:from>
    <cdr:to>
      <cdr:x>0.98794</cdr:x>
      <cdr:y>0.54936</cdr:y>
    </cdr:to>
    <cdr:sp macro="" textlink="">
      <cdr:nvSpPr>
        <cdr:cNvPr id="3" name="TextBox 2"/>
        <cdr:cNvSpPr txBox="1"/>
      </cdr:nvSpPr>
      <cdr:spPr>
        <a:xfrm xmlns:a="http://schemas.openxmlformats.org/drawingml/2006/main">
          <a:off x="4116157" y="1771649"/>
          <a:ext cx="1153531" cy="2952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latin typeface="+mj-lt"/>
            </a:rPr>
            <a:t>Missouri</a:t>
          </a:r>
        </a:p>
      </cdr:txBody>
    </cdr:sp>
  </cdr:relSizeAnchor>
  <cdr:relSizeAnchor xmlns:cdr="http://schemas.openxmlformats.org/drawingml/2006/chartDrawing">
    <cdr:from>
      <cdr:x>0.88235</cdr:x>
      <cdr:y>0.25317</cdr:y>
    </cdr:from>
    <cdr:to>
      <cdr:x>0.97924</cdr:x>
      <cdr:y>0.35697</cdr:y>
    </cdr:to>
    <cdr:sp macro="" textlink="">
      <cdr:nvSpPr>
        <cdr:cNvPr id="4" name="TextBox 3"/>
        <cdr:cNvSpPr txBox="1"/>
      </cdr:nvSpPr>
      <cdr:spPr>
        <a:xfrm xmlns:a="http://schemas.openxmlformats.org/drawingml/2006/main">
          <a:off x="4857753" y="952507"/>
          <a:ext cx="533400" cy="390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latin typeface="+mj-lt"/>
            </a:rPr>
            <a:t>U.S.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D0A46-F809-4CAA-AA90-FA28F4BD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10796</Words>
  <Characters>61538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LEAVENWORTH COUNTY COMMUNITY HEALTH NEEDS ASSESSMENT</vt:lpstr>
    </vt:vector>
  </TitlesOfParts>
  <Company>Microsoft</Company>
  <LinksUpToDate>false</LinksUpToDate>
  <CharactersWithSpaces>72190</CharactersWithSpaces>
  <SharedDoc>false</SharedDoc>
  <HLinks>
    <vt:vector size="174" baseType="variant">
      <vt:variant>
        <vt:i4>6226030</vt:i4>
      </vt:variant>
      <vt:variant>
        <vt:i4>318</vt:i4>
      </vt:variant>
      <vt:variant>
        <vt:i4>0</vt:i4>
      </vt:variant>
      <vt:variant>
        <vt:i4>5</vt:i4>
      </vt:variant>
      <vt:variant>
        <vt:lpwstr>http://quickfacts.census.gov/qfd/states/20/20103.html</vt:lpwstr>
      </vt:variant>
      <vt:variant>
        <vt:lpwstr/>
      </vt:variant>
      <vt:variant>
        <vt:i4>655390</vt:i4>
      </vt:variant>
      <vt:variant>
        <vt:i4>315</vt:i4>
      </vt:variant>
      <vt:variant>
        <vt:i4>0</vt:i4>
      </vt:variant>
      <vt:variant>
        <vt:i4>5</vt:i4>
      </vt:variant>
      <vt:variant>
        <vt:lpwstr>http://www.wsoctv.com/health/9737364/detail.html</vt:lpwstr>
      </vt:variant>
      <vt:variant>
        <vt:lpwstr/>
      </vt:variant>
      <vt:variant>
        <vt:i4>6225961</vt:i4>
      </vt:variant>
      <vt:variant>
        <vt:i4>312</vt:i4>
      </vt:variant>
      <vt:variant>
        <vt:i4>0</vt:i4>
      </vt:variant>
      <vt:variant>
        <vt:i4>5</vt:i4>
      </vt:variant>
      <vt:variant>
        <vt:lpwstr>https://www.saintlukeshealthsystem.org/service/hedrick-medical-center-wound-care-services</vt:lpwstr>
      </vt:variant>
      <vt:variant>
        <vt:lpwstr/>
      </vt:variant>
      <vt:variant>
        <vt:i4>6946903</vt:i4>
      </vt:variant>
      <vt:variant>
        <vt:i4>309</vt:i4>
      </vt:variant>
      <vt:variant>
        <vt:i4>0</vt:i4>
      </vt:variant>
      <vt:variant>
        <vt:i4>5</vt:i4>
      </vt:variant>
      <vt:variant>
        <vt:lpwstr>https://www.saintlukeshealthsystem.org/service/hedrick-medical-center-surgical-services</vt:lpwstr>
      </vt:variant>
      <vt:variant>
        <vt:lpwstr/>
      </vt:variant>
      <vt:variant>
        <vt:i4>6225948</vt:i4>
      </vt:variant>
      <vt:variant>
        <vt:i4>306</vt:i4>
      </vt:variant>
      <vt:variant>
        <vt:i4>0</vt:i4>
      </vt:variant>
      <vt:variant>
        <vt:i4>5</vt:i4>
      </vt:variant>
      <vt:variant>
        <vt:lpwstr>https://www.saintlukeshealthsystem.org/service/hedrick-medical-center-spiritual-wellness</vt:lpwstr>
      </vt:variant>
      <vt:variant>
        <vt:lpwstr/>
      </vt:variant>
      <vt:variant>
        <vt:i4>6225945</vt:i4>
      </vt:variant>
      <vt:variant>
        <vt:i4>303</vt:i4>
      </vt:variant>
      <vt:variant>
        <vt:i4>0</vt:i4>
      </vt:variant>
      <vt:variant>
        <vt:i4>5</vt:i4>
      </vt:variant>
      <vt:variant>
        <vt:lpwstr>https://www.saintlukeshealthsystem.org/service/brain-stroke/sleep-disorder-treatment</vt:lpwstr>
      </vt:variant>
      <vt:variant>
        <vt:lpwstr/>
      </vt:variant>
      <vt:variant>
        <vt:i4>2555949</vt:i4>
      </vt:variant>
      <vt:variant>
        <vt:i4>300</vt:i4>
      </vt:variant>
      <vt:variant>
        <vt:i4>0</vt:i4>
      </vt:variant>
      <vt:variant>
        <vt:i4>5</vt:i4>
      </vt:variant>
      <vt:variant>
        <vt:lpwstr>https://www.saintlukeshealthsystem.org/service/short-term-rehab-hedrick-medical-center</vt:lpwstr>
      </vt:variant>
      <vt:variant>
        <vt:lpwstr/>
      </vt:variant>
      <vt:variant>
        <vt:i4>5701650</vt:i4>
      </vt:variant>
      <vt:variant>
        <vt:i4>297</vt:i4>
      </vt:variant>
      <vt:variant>
        <vt:i4>0</vt:i4>
      </vt:variant>
      <vt:variant>
        <vt:i4>5</vt:i4>
      </vt:variant>
      <vt:variant>
        <vt:lpwstr>https://www.saintlukeshealthsystem.org/service/hedrick-medical-center-radiology-services</vt:lpwstr>
      </vt:variant>
      <vt:variant>
        <vt:lpwstr/>
      </vt:variant>
      <vt:variant>
        <vt:i4>5963897</vt:i4>
      </vt:variant>
      <vt:variant>
        <vt:i4>294</vt:i4>
      </vt:variant>
      <vt:variant>
        <vt:i4>0</vt:i4>
      </vt:variant>
      <vt:variant>
        <vt:i4>5</vt:i4>
      </vt:variant>
      <vt:variant>
        <vt:lpwstr>https://www.saintlukeshealthsystem.org/service/hedrick-medical-center-podiatry-services-foot-care</vt:lpwstr>
      </vt:variant>
      <vt:variant>
        <vt:lpwstr/>
      </vt:variant>
      <vt:variant>
        <vt:i4>7798882</vt:i4>
      </vt:variant>
      <vt:variant>
        <vt:i4>291</vt:i4>
      </vt:variant>
      <vt:variant>
        <vt:i4>0</vt:i4>
      </vt:variant>
      <vt:variant>
        <vt:i4>5</vt:i4>
      </vt:variant>
      <vt:variant>
        <vt:lpwstr>https://www.saintlukeshealthsystem.org/service/pain-management</vt:lpwstr>
      </vt:variant>
      <vt:variant>
        <vt:lpwstr/>
      </vt:variant>
      <vt:variant>
        <vt:i4>5439522</vt:i4>
      </vt:variant>
      <vt:variant>
        <vt:i4>288</vt:i4>
      </vt:variant>
      <vt:variant>
        <vt:i4>0</vt:i4>
      </vt:variant>
      <vt:variant>
        <vt:i4>5</vt:i4>
      </vt:variant>
      <vt:variant>
        <vt:lpwstr>https://www.saintlukeshealthsystem.org/featured-service/hedrick-medical-center-maternity-services</vt:lpwstr>
      </vt:variant>
      <vt:variant>
        <vt:lpwstr/>
      </vt:variant>
      <vt:variant>
        <vt:i4>7208993</vt:i4>
      </vt:variant>
      <vt:variant>
        <vt:i4>285</vt:i4>
      </vt:variant>
      <vt:variant>
        <vt:i4>0</vt:i4>
      </vt:variant>
      <vt:variant>
        <vt:i4>5</vt:i4>
      </vt:variant>
      <vt:variant>
        <vt:lpwstr>https://www.saintlukeshealthsystem.org/laboratory-services</vt:lpwstr>
      </vt:variant>
      <vt:variant>
        <vt:lpwstr/>
      </vt:variant>
      <vt:variant>
        <vt:i4>1376356</vt:i4>
      </vt:variant>
      <vt:variant>
        <vt:i4>282</vt:i4>
      </vt:variant>
      <vt:variant>
        <vt:i4>0</vt:i4>
      </vt:variant>
      <vt:variant>
        <vt:i4>5</vt:i4>
      </vt:variant>
      <vt:variant>
        <vt:lpwstr>https://www.saintlukeshealthsystem.org/featured-service/home-care-hospice</vt:lpwstr>
      </vt:variant>
      <vt:variant>
        <vt:lpwstr/>
      </vt:variant>
      <vt:variant>
        <vt:i4>7929907</vt:i4>
      </vt:variant>
      <vt:variant>
        <vt:i4>279</vt:i4>
      </vt:variant>
      <vt:variant>
        <vt:i4>0</vt:i4>
      </vt:variant>
      <vt:variant>
        <vt:i4>5</vt:i4>
      </vt:variant>
      <vt:variant>
        <vt:lpwstr>https://www.saintlukeshealthsystem.org/featured-service/heart-vascular</vt:lpwstr>
      </vt:variant>
      <vt:variant>
        <vt:lpwstr/>
      </vt:variant>
      <vt:variant>
        <vt:i4>3735554</vt:i4>
      </vt:variant>
      <vt:variant>
        <vt:i4>276</vt:i4>
      </vt:variant>
      <vt:variant>
        <vt:i4>0</vt:i4>
      </vt:variant>
      <vt:variant>
        <vt:i4>5</vt:i4>
      </vt:variant>
      <vt:variant>
        <vt:lpwstr>https://www.saintlukeshealthsystem.org/service/gastroenterology</vt:lpwstr>
      </vt:variant>
      <vt:variant>
        <vt:lpwstr/>
      </vt:variant>
      <vt:variant>
        <vt:i4>5046285</vt:i4>
      </vt:variant>
      <vt:variant>
        <vt:i4>273</vt:i4>
      </vt:variant>
      <vt:variant>
        <vt:i4>0</vt:i4>
      </vt:variant>
      <vt:variant>
        <vt:i4>5</vt:i4>
      </vt:variant>
      <vt:variant>
        <vt:lpwstr>https://www.saintlukeshealthsystem.org/service/hedrick-medical-center-emergency-services</vt:lpwstr>
      </vt:variant>
      <vt:variant>
        <vt:lpwstr/>
      </vt:variant>
      <vt:variant>
        <vt:i4>8126493</vt:i4>
      </vt:variant>
      <vt:variant>
        <vt:i4>270</vt:i4>
      </vt:variant>
      <vt:variant>
        <vt:i4>0</vt:i4>
      </vt:variant>
      <vt:variant>
        <vt:i4>5</vt:i4>
      </vt:variant>
      <vt:variant>
        <vt:lpwstr>https://www.saintlukeshealthsystem.org/service/diabetes-centers</vt:lpwstr>
      </vt:variant>
      <vt:variant>
        <vt:lpwstr/>
      </vt:variant>
      <vt:variant>
        <vt:i4>2228249</vt:i4>
      </vt:variant>
      <vt:variant>
        <vt:i4>267</vt:i4>
      </vt:variant>
      <vt:variant>
        <vt:i4>0</vt:i4>
      </vt:variant>
      <vt:variant>
        <vt:i4>5</vt:i4>
      </vt:variant>
      <vt:variant>
        <vt:lpwstr>https://www.saintlukeshealthsystem.org/featured-service/cancer-services</vt:lpwstr>
      </vt:variant>
      <vt:variant>
        <vt:lpwstr/>
      </vt:variant>
      <vt:variant>
        <vt:i4>4980850</vt:i4>
      </vt:variant>
      <vt:variant>
        <vt:i4>264</vt:i4>
      </vt:variant>
      <vt:variant>
        <vt:i4>0</vt:i4>
      </vt:variant>
      <vt:variant>
        <vt:i4>5</vt:i4>
      </vt:variant>
      <vt:variant>
        <vt:lpwstr>http://www.communityhealth.hhs.gov/MeasuresOfBirthAndDeath.aspx?GeogCD=20103&amp;PeerStrat=45&amp;state=Kansas&amp;county=Leavenworth</vt:lpwstr>
      </vt:variant>
      <vt:variant>
        <vt:lpwstr/>
      </vt:variant>
      <vt:variant>
        <vt:i4>1638427</vt:i4>
      </vt:variant>
      <vt:variant>
        <vt:i4>261</vt:i4>
      </vt:variant>
      <vt:variant>
        <vt:i4>0</vt:i4>
      </vt:variant>
      <vt:variant>
        <vt:i4>5</vt:i4>
      </vt:variant>
      <vt:variant>
        <vt:lpwstr>http://datacenter.kidscount.org/data/bystate/stateprofile.aspx?state=KS&amp;cat=742&amp;group=Category&amp;loc=2865&amp;dt=1%2c3%2c2%2c4</vt:lpwstr>
      </vt:variant>
      <vt:variant>
        <vt:lpwstr/>
      </vt:variant>
      <vt:variant>
        <vt:i4>1638427</vt:i4>
      </vt:variant>
      <vt:variant>
        <vt:i4>258</vt:i4>
      </vt:variant>
      <vt:variant>
        <vt:i4>0</vt:i4>
      </vt:variant>
      <vt:variant>
        <vt:i4>5</vt:i4>
      </vt:variant>
      <vt:variant>
        <vt:lpwstr>http://datacenter.kidscount.org/data/bystate/stateprofile.aspx?state=KS&amp;cat=742&amp;group=Category&amp;loc=2865&amp;dt=1%2c3%2c2%2c4</vt:lpwstr>
      </vt:variant>
      <vt:variant>
        <vt:lpwstr/>
      </vt:variant>
      <vt:variant>
        <vt:i4>1638427</vt:i4>
      </vt:variant>
      <vt:variant>
        <vt:i4>255</vt:i4>
      </vt:variant>
      <vt:variant>
        <vt:i4>0</vt:i4>
      </vt:variant>
      <vt:variant>
        <vt:i4>5</vt:i4>
      </vt:variant>
      <vt:variant>
        <vt:lpwstr>http://datacenter.kidscount.org/data/bystate/stateprofile.aspx?state=KS&amp;cat=742&amp;group=Category&amp;loc=2865&amp;dt=1%2c3%2c2%2c4</vt:lpwstr>
      </vt:variant>
      <vt:variant>
        <vt:lpwstr/>
      </vt:variant>
      <vt:variant>
        <vt:i4>1638427</vt:i4>
      </vt:variant>
      <vt:variant>
        <vt:i4>252</vt:i4>
      </vt:variant>
      <vt:variant>
        <vt:i4>0</vt:i4>
      </vt:variant>
      <vt:variant>
        <vt:i4>5</vt:i4>
      </vt:variant>
      <vt:variant>
        <vt:lpwstr>http://datacenter.kidscount.org/data/bystate/stateprofile.aspx?state=KS&amp;cat=742&amp;group=Category&amp;loc=2865&amp;dt=1%2c3%2c2%2c4</vt:lpwstr>
      </vt:variant>
      <vt:variant>
        <vt:lpwstr/>
      </vt:variant>
      <vt:variant>
        <vt:i4>1638427</vt:i4>
      </vt:variant>
      <vt:variant>
        <vt:i4>249</vt:i4>
      </vt:variant>
      <vt:variant>
        <vt:i4>0</vt:i4>
      </vt:variant>
      <vt:variant>
        <vt:i4>5</vt:i4>
      </vt:variant>
      <vt:variant>
        <vt:lpwstr>http://datacenter.kidscount.org/data/bystate/stateprofile.aspx?state=KS&amp;cat=742&amp;group=Category&amp;loc=2865&amp;dt=1%2c3%2c2%2c4</vt:lpwstr>
      </vt:variant>
      <vt:variant>
        <vt:lpwstr/>
      </vt:variant>
      <vt:variant>
        <vt:i4>5111831</vt:i4>
      </vt:variant>
      <vt:variant>
        <vt:i4>246</vt:i4>
      </vt:variant>
      <vt:variant>
        <vt:i4>0</vt:i4>
      </vt:variant>
      <vt:variant>
        <vt:i4>5</vt:i4>
      </vt:variant>
      <vt:variant>
        <vt:lpwstr>http://www.kidscount.org</vt:lpwstr>
      </vt:variant>
      <vt:variant>
        <vt:lpwstr/>
      </vt:variant>
      <vt:variant>
        <vt:i4>5111831</vt:i4>
      </vt:variant>
      <vt:variant>
        <vt:i4>243</vt:i4>
      </vt:variant>
      <vt:variant>
        <vt:i4>0</vt:i4>
      </vt:variant>
      <vt:variant>
        <vt:i4>5</vt:i4>
      </vt:variant>
      <vt:variant>
        <vt:lpwstr>http://www.kidscount.org</vt:lpwstr>
      </vt:variant>
      <vt:variant>
        <vt:lpwstr/>
      </vt:variant>
      <vt:variant>
        <vt:i4>3932176</vt:i4>
      </vt:variant>
      <vt:variant>
        <vt:i4>-1</vt:i4>
      </vt:variant>
      <vt:variant>
        <vt:i4>1095</vt:i4>
      </vt:variant>
      <vt:variant>
        <vt:i4>1</vt:i4>
      </vt:variant>
      <vt:variant>
        <vt:lpwstr>Screen Shot 2013-01-07 at 3</vt:lpwstr>
      </vt:variant>
      <vt:variant>
        <vt:lpwstr/>
      </vt:variant>
      <vt:variant>
        <vt:i4>3932176</vt:i4>
      </vt:variant>
      <vt:variant>
        <vt:i4>-1</vt:i4>
      </vt:variant>
      <vt:variant>
        <vt:i4>1099</vt:i4>
      </vt:variant>
      <vt:variant>
        <vt:i4>1</vt:i4>
      </vt:variant>
      <vt:variant>
        <vt:lpwstr>Screen Shot 2013-01-07 at 3</vt:lpwstr>
      </vt:variant>
      <vt:variant>
        <vt:lpwstr/>
      </vt:variant>
      <vt:variant>
        <vt:i4>11</vt:i4>
      </vt:variant>
      <vt:variant>
        <vt:i4>-1</vt:i4>
      </vt:variant>
      <vt:variant>
        <vt:i4>1117</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LEAVENWORTH COUNTY COMMUNITY HEALTH NEEDS ASSESSMENT</dc:title>
  <dc:creator>Michael</dc:creator>
  <cp:lastModifiedBy>Scott Tomlinson</cp:lastModifiedBy>
  <cp:revision>2</cp:revision>
  <cp:lastPrinted>2012-06-14T18:00:00Z</cp:lastPrinted>
  <dcterms:created xsi:type="dcterms:W3CDTF">2013-05-20T16:36:00Z</dcterms:created>
  <dcterms:modified xsi:type="dcterms:W3CDTF">2013-05-20T16:36:00Z</dcterms:modified>
</cp:coreProperties>
</file>